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t xml:space="preserve">VettdRE, Inc.</w:t>
      </w:r>
    </w:p>
    <w:p>
      <w:pPr>
        <w:spacing w:after="200"/>
        <w:jc w:val="center"/>
      </w:pPr>
      <w:r>
        <w:t xml:space="preserve">Vendor Management Policy</w:t>
      </w:r>
    </w:p>
    <w:p>
      <w:pPr>
        <w:spacing w:after="50"/>
        <w:jc w:val="center"/>
      </w:pPr>
      <w:r>
        <w:t xml:space="preserve">Version: 3.0</w:t>
      </w:r>
    </w:p>
    <w:p>
      <w:pPr>
        <w:spacing w:after="400"/>
        <w:jc w:val="center"/>
      </w:pPr>
      <w:r>
        <w:t xml:space="preserve">Effective Date: April 2026</w:t>
      </w:r>
    </w:p>
    <w:p>
      <w:pPr>
        <w:pStyle w:val="Heading1"/>
        <w:spacing w:after="100" w:before="200"/>
      </w:pPr>
      <w:r>
        <w:t xml:space="preserve">1. Purpose</w:t>
      </w:r>
    </w:p>
    <w:p>
      <w:pPr>
        <w:spacing w:after="100" w:line="360"/>
        <w:jc w:val="both"/>
      </w:pPr>
      <w:r>
        <w:t xml:space="preserve">This policy defines VettdRE's process for evaluating, onboarding, monitoring, and offboarding third-party vendors that process, store, or have access to consumer data or VettdRE's production infrastructure.</w:t>
      </w:r>
    </w:p>
    <w:p>
      <w:pPr>
        <w:pStyle w:val="Heading1"/>
        <w:spacing w:after="100" w:before="200"/>
      </w:pPr>
      <w:r>
        <w:t xml:space="preserve">2. Current Vendor Inventory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Vendor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Data Processed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Security Certifications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Data Handling Notes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Plaid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Bank account data, transactions, identity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SOC 2 Type II, ISO 27001, ISO 27701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Access tokens AES-256-GCM encrypted, deleted after sync; Item removed via API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CRS Credit API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SSN (real-time pass-through only), credit scores, criminal/eviction records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SOC 2 Type II, FCRA-registered CRA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SSN transmitted in real-time, never stored by VettdRE; raw reports auto-deleted at 90 days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Supabase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All application data (PII, financial data, tokens, documents)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SOC 2 Type II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AES-256 encryption at rest, RLS enforced, PITR enabled, application-level AES-256-GCM for sensitive columns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Google Cloud Platform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Application containers, logs, secrets, backups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SOC 2 Type II, ISO 27001, FedRAMP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Cloud Run (serverless, gVisor), Secret Manager for API keys, GCS for encrypted backups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Upstash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Ephemeral data: SSN (30-min TTL), sessions (24-hr TTL), OTP codes (10-min TTL), rate limit counters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SOC 2 Type II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All data encrypted at rest and in transit; all entries have automatic TTL expiry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Stripe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Payment card data (PCI scope), payment amounts, customer billing info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PCI DSS Level 1, SOC 2 Type II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VettdRE never handles raw card numbers — delegated entirely to Stripe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Twilio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Phone numbers, OTP codes (in transit only)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SOC 2 Type II, ISO 27001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OTP codes are transient; phone numbers used only for SMS delivery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Anthropic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Document content (PII-redacted before transmission)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SOC 2 Type II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SSNs, account numbers, and routing numbers are redacted from document content before API transmission; Anthropic does not train on API inputs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Resend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Email addresses (for sending invites/notifications)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SOC 2 Type II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Email addresses used only for transactional delivery; no marketing use</w:t>
            </w:r>
          </w:p>
        </w:tc>
      </w:tr>
    </w:tbl>
    <w:p>
      <w:pPr>
        <w:pStyle w:val="Heading1"/>
        <w:spacing w:after="100" w:before="200"/>
      </w:pPr>
      <w:r>
        <w:t xml:space="preserve">3. Vendor Evaluation Criteria</w:t>
      </w:r>
    </w:p>
    <w:p>
      <w:pPr>
        <w:spacing w:after="100" w:line="360"/>
        <w:jc w:val="both"/>
      </w:pPr>
      <w:r>
        <w:t xml:space="preserve">Before onboarding any new vendor that will process consumer data, VettdRE evaluates:</w:t>
      </w:r>
    </w:p>
    <w:p>
      <w:pPr>
        <w:spacing w:after="100" w:line="360"/>
        <w:jc w:val="both"/>
      </w:pPr>
      <w:r>
        <w:t xml:space="preserve">• Security certifications: SOC 2 Type II, ISO 27001, PCI DSS, or equivalent required for vendors processing PII or financial data
• Data handling practices: Encryption at rest and in transit, access controls, data retention/deletion capabilities
• Regulatory compliance: FCRA compliance (for credit data), GLBA safeguards, applicable state privacy laws
• Data minimization: Can VettdRE minimize what data is sent to the vendor? (e.g., PII redaction before Anthropic, SSN pass-through rather than storage for CRS)
• Incident notification: Vendor must commit to timely notification of security incidents
• Business continuity: Reasonable uptime commitments and disaster recovery capabilities
• Contractual protections: Data processing agreements, limitation of data use, indemnification provisions</w:t>
      </w:r>
    </w:p>
    <w:p>
      <w:pPr>
        <w:pStyle w:val="Heading1"/>
        <w:spacing w:after="100" w:before="200"/>
      </w:pPr>
      <w:r>
        <w:t xml:space="preserve">4. Ongoing Monitoring</w:t>
      </w:r>
    </w:p>
    <w:p>
      <w:pPr>
        <w:spacing w:after="100" w:line="360"/>
        <w:jc w:val="both"/>
      </w:pPr>
      <w:r>
        <w:t xml:space="preserve">• Vendor security posture is reviewed annually by checking for updated SOC 2 reports, security certifications, and any disclosed security incidents
• Vendor status pages and security advisories are monitored for outages or breaches
• API usage and error rates are monitored through application logging to detect vendor performance degradation
• Webhook delivery reliability is tracked via the processed_webhooks table
• If a vendor discloses a material security incident, VettdRE assesses the impact on consumer data, follows the Incident Response Plan, and evaluates whether vendor relationship should continue</w:t>
      </w:r>
    </w:p>
    <w:p>
      <w:pPr>
        <w:pStyle w:val="Heading1"/>
        <w:spacing w:after="100" w:before="200"/>
      </w:pPr>
      <w:r>
        <w:t xml:space="preserve">5. Vendor Offboarding</w:t>
      </w:r>
    </w:p>
    <w:p>
      <w:pPr>
        <w:spacing w:after="100" w:line="360"/>
        <w:jc w:val="both"/>
      </w:pPr>
      <w:r>
        <w:t xml:space="preserve">When a vendor relationship is terminated:
• All API keys and credentials for the vendor are immediately revoked or rotated
• Consumer data held by the vendor is deleted or confirmed deleted per the vendor's data deletion procedures and contractual obligations
• The vendor is removed from the active vendor inventory
• All integrations with the vendor are removed from the codebase, tested, and deployed to production
• The change is documented in the vendor management log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2026-04-03T14:32:28.245Z</dcterms:created>
  <dcterms:modified xsi:type="dcterms:W3CDTF">2026-04-03T14:32:28.245Z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