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E40AF"/>
          <w:sz w:val="48"/>
          <w:szCs w:val="48"/>
        </w:rPr>
        <w:t xml:space="preserve">SkillsMP Skills Audit</w:t>
      </w:r>
    </w:p>
    <w:p>
      <w:pPr>
        <w:spacing w:after="40"/>
      </w:pPr>
      <w:r>
        <w:rPr>
          <w:rFonts w:ascii="Arial" w:cs="Arial" w:eastAsia="Arial" w:hAnsi="Arial"/>
          <w:color w:val="1F2937"/>
          <w:sz w:val="28"/>
          <w:szCs w:val="28"/>
        </w:rPr>
        <w:t xml:space="preserve">Recommended Agent Skills for VettdRE Real Estate CRM</w:t>
      </w:r>
    </w:p>
    <w:p>
      <w:pPr>
        <w:pBdr>
          <w:bottom w:val="single" w:color="1E40AF" w:sz="6" w:space="8"/>
        </w:pBdr>
        <w:spacing w:after="200"/>
      </w:pPr>
      <w:r>
        <w:rPr>
          <w:rFonts w:ascii="Arial" w:cs="Arial" w:eastAsia="Arial" w:hAnsi="Arial"/>
          <w:color w:val="6B7280"/>
          <w:sz w:val="20"/>
          <w:szCs w:val="20"/>
        </w:rPr>
        <w:t xml:space="preserve">Source: </w:t>
      </w:r>
      <w:r>
        <w:rPr>
          <w:rFonts w:ascii="Arial" w:cs="Arial" w:eastAsia="Arial" w:hAnsi="Arial"/>
          <w:color w:val="1E40AF"/>
          <w:sz w:val="20"/>
          <w:szCs w:val="20"/>
        </w:rPr>
        <w:t xml:space="preserve">skillsmp.com/categories</w:t>
      </w:r>
      <w:r>
        <w:rPr>
          <w:rFonts w:ascii="Arial" w:cs="Arial" w:eastAsia="Arial" w:hAnsi="Arial"/>
          <w:color w:val="6B7280"/>
          <w:sz w:val="20"/>
          <w:szCs w:val="20"/>
        </w:rPr>
        <w:t xml:space="preserve">  |  March 4, 2026</w:t>
      </w:r>
    </w:p>
    <w:p>
      <w:pPr>
        <w:pStyle w:val="Heading1"/>
      </w:pPr>
      <w:r>
        <w:rPr>
          <w:rFonts w:ascii="Arial" w:cs="Arial" w:eastAsia="Arial" w:hAnsi="Arial"/>
          <w:b/>
          <w:bCs/>
        </w:rPr>
        <w:t xml:space="preserve">Executive Summary</w:t>
      </w:r>
    </w:p>
    <w:p>
      <w:pPr>
        <w:spacing w:after="120"/>
      </w:pPr>
      <w:r>
        <w:rPr>
          <w:rFonts w:ascii="Arial" w:cs="Arial" w:eastAsia="Arial" w:hAnsi="Arial"/>
          <w:color w:val="1F2937"/>
          <w:sz w:val="22"/>
          <w:szCs w:val="22"/>
        </w:rPr>
        <w:t xml:space="preserve">After auditing the SkillsMP marketplace (92,000+ skills across Tools, Development, Business, and Data &amp; AI categories), 15 skills were identified as directly beneficial to VettdRE’s development. These skills are organized into four priority tiers based on their alignment with VettdRE’s current tech stack (Next.js 16, Prisma, Supabase, Tailwind CSS 4) and the project’s pending feature roadmap.</w:t>
      </w:r>
    </w:p>
    <w:p>
      <w:pPr>
        <w:spacing w:after="120"/>
      </w:pPr>
      <w:r>
        <w:rPr>
          <w:rFonts w:ascii="Arial" w:cs="Arial" w:eastAsia="Arial" w:hAnsi="Arial"/>
          <w:b/>
          <w:bCs/>
          <w:color w:val="1F2937"/>
          <w:sz w:val="22"/>
          <w:szCs w:val="22"/>
        </w:rPr>
        <w:t xml:space="preserve">Key categories explored: </w:t>
      </w:r>
      <w:r>
        <w:rPr>
          <w:rFonts w:ascii="Arial" w:cs="Arial" w:eastAsia="Arial" w:hAnsi="Arial"/>
          <w:color w:val="1F2937"/>
          <w:sz w:val="22"/>
          <w:szCs w:val="22"/>
        </w:rPr>
        <w:t xml:space="preserve">Real Estate &amp; Legal (2,838 skills), Sales &amp; Marketing, Finance &amp; Investment, Data &amp; AI (45,550 skills), Development &gt; Frontend/Full Stack, and Automation Tools.</w:t>
      </w:r>
    </w:p>
    <w:p>
      <w:pPr>
        <w:pStyle w:val="Heading1"/>
      </w:pPr>
      <w:r>
        <w:rPr>
          <w:rFonts w:ascii="Arial" w:cs="Arial" w:eastAsia="Arial" w:hAnsi="Arial"/>
          <w:b/>
          <w:bCs/>
        </w:rPr>
        <w:t xml:space="preserve">Skills-to-Gaps Mapping</w:t>
      </w:r>
    </w:p>
    <w:p>
      <w:pPr>
        <w:spacing w:after="120"/>
      </w:pPr>
      <w:r>
        <w:rPr>
          <w:rFonts w:ascii="Arial" w:cs="Arial" w:eastAsia="Arial" w:hAnsi="Arial"/>
          <w:color w:val="1F2937"/>
          <w:sz w:val="22"/>
          <w:szCs w:val="22"/>
        </w:rPr>
        <w:t xml:space="preserve">The table below maps recommended skills to specific VettdRE features or gaps they address.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1800"/>
        <w:gridCol w:w="2560"/>
      </w:tblGrid>
      <w:tr>
        <w:tc>
          <w:tcPr>
            <w:tcW w:type="dxa" w:w="280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Skill Name</w:t>
            </w:r>
          </w:p>
        </w:tc>
        <w:tc>
          <w:tcPr>
            <w:tcW w:type="dxa" w:w="220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VettdRE Gap/Feature</w:t>
            </w:r>
          </w:p>
        </w:tc>
        <w:tc>
          <w:tcPr>
            <w:tcW w:type="dxa" w:w="180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Stars</w:t>
            </w:r>
          </w:p>
        </w:tc>
        <w:tc>
          <w:tcPr>
            <w:tcW w:type="dxa" w:w="256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Category</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bCs/>
                <w:color w:val="1E40AF"/>
                <w:sz w:val="19"/>
                <w:szCs w:val="19"/>
              </w:rPr>
              <w:t xml:space="preserve">nextjs-pwa</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color w:val="1F2937"/>
                <w:sz w:val="19"/>
                <w:szCs w:val="19"/>
              </w:rPr>
              <w:t xml:space="preserve">PWA / Offline (Not started)</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jc w:val="center"/>
            </w:pPr>
            <w:r>
              <w:rPr>
                <w:rFonts w:ascii="Arial" w:cs="Arial" w:eastAsia="Arial" w:hAnsi="Arial"/>
                <w:color w:val="6B7280"/>
                <w:sz w:val="19"/>
                <w:szCs w:val="19"/>
              </w:rPr>
              <w:t xml:space="preserve">46</w:t>
            </w:r>
          </w:p>
        </w:tc>
        <w:tc>
          <w:tcPr>
            <w:tcW w:type="dxa" w:w="25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color w:val="1F2937"/>
                <w:sz w:val="19"/>
                <w:szCs w:val="19"/>
              </w:rPr>
              <w:t xml:space="preserve">Development</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bCs/>
                <w:color w:val="1E40AF"/>
                <w:sz w:val="19"/>
                <w:szCs w:val="19"/>
              </w:rPr>
              <w:t xml:space="preserve">pwa-patterns</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color w:val="1F2937"/>
                <w:sz w:val="19"/>
                <w:szCs w:val="19"/>
              </w:rPr>
              <w:t xml:space="preserve">Service Worker / Caching</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jc w:val="center"/>
            </w:pPr>
            <w:r>
              <w:rPr>
                <w:rFonts w:ascii="Arial" w:cs="Arial" w:eastAsia="Arial" w:hAnsi="Arial"/>
                <w:color w:val="6B7280"/>
                <w:sz w:val="19"/>
                <w:szCs w:val="19"/>
              </w:rPr>
              <w:t xml:space="preserve">46</w:t>
            </w:r>
          </w:p>
        </w:tc>
        <w:tc>
          <w:tcPr>
            <w:tcW w:type="dxa" w:w="25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color w:val="1F2937"/>
                <w:sz w:val="19"/>
                <w:szCs w:val="19"/>
              </w:rPr>
              <w:t xml:space="preserve">Development</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bCs/>
                <w:color w:val="1E40AF"/>
                <w:sz w:val="19"/>
                <w:szCs w:val="19"/>
              </w:rPr>
              <w:t xml:space="preserve">analytics-metrics</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color w:val="1F2937"/>
                <w:sz w:val="19"/>
                <w:szCs w:val="19"/>
              </w:rPr>
              <w:t xml:space="preserve">Analytics page (Not built)</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jc w:val="center"/>
            </w:pPr>
            <w:r>
              <w:rPr>
                <w:rFonts w:ascii="Arial" w:cs="Arial" w:eastAsia="Arial" w:hAnsi="Arial"/>
                <w:color w:val="6B7280"/>
                <w:sz w:val="19"/>
                <w:szCs w:val="19"/>
              </w:rPr>
              <w:t xml:space="preserve">110</w:t>
            </w:r>
          </w:p>
        </w:tc>
        <w:tc>
          <w:tcPr>
            <w:tcW w:type="dxa" w:w="25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color w:val="1F2937"/>
                <w:sz w:val="19"/>
                <w:szCs w:val="19"/>
              </w:rPr>
              <w:t xml:space="preserve">Data &amp; AI</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bCs/>
                <w:color w:val="1E40AF"/>
                <w:sz w:val="19"/>
                <w:szCs w:val="19"/>
              </w:rPr>
              <w:t xml:space="preserve">tremor-design-system</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color w:val="1F2937"/>
                <w:sz w:val="19"/>
                <w:szCs w:val="19"/>
              </w:rPr>
              <w:t xml:space="preserve">Dashboard stats (Placeholder)</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jc w:val="center"/>
            </w:pPr>
            <w:r>
              <w:rPr>
                <w:rFonts w:ascii="Arial" w:cs="Arial" w:eastAsia="Arial" w:hAnsi="Arial"/>
                <w:color w:val="6B7280"/>
                <w:sz w:val="19"/>
                <w:szCs w:val="19"/>
              </w:rPr>
              <w:t xml:space="preserve">46</w:t>
            </w:r>
          </w:p>
        </w:tc>
        <w:tc>
          <w:tcPr>
            <w:tcW w:type="dxa" w:w="25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color w:val="1F2937"/>
                <w:sz w:val="19"/>
                <w:szCs w:val="19"/>
              </w:rPr>
              <w:t xml:space="preserve">Development</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bCs/>
                <w:color w:val="1E40AF"/>
                <w:sz w:val="19"/>
                <w:szCs w:val="19"/>
              </w:rPr>
              <w:t xml:space="preserve">supastarter-nextjs</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color w:val="1F2937"/>
                <w:sz w:val="19"/>
                <w:szCs w:val="19"/>
              </w:rPr>
              <w:t xml:space="preserve">Core stack guidance</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jc w:val="center"/>
            </w:pPr>
            <w:r>
              <w:rPr>
                <w:rFonts w:ascii="Arial" w:cs="Arial" w:eastAsia="Arial" w:hAnsi="Arial"/>
                <w:color w:val="6B7280"/>
                <w:sz w:val="19"/>
                <w:szCs w:val="19"/>
              </w:rPr>
              <w:t xml:space="preserve">46</w:t>
            </w:r>
          </w:p>
        </w:tc>
        <w:tc>
          <w:tcPr>
            <w:tcW w:type="dxa" w:w="25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color w:val="1F2937"/>
                <w:sz w:val="19"/>
                <w:szCs w:val="19"/>
              </w:rPr>
              <w:t xml:space="preserve">Development</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bCs/>
                <w:color w:val="1E40AF"/>
                <w:sz w:val="19"/>
                <w:szCs w:val="19"/>
              </w:rPr>
              <w:t xml:space="preserve">nextjs-supabase-auth</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color w:val="1F2937"/>
                <w:sz w:val="19"/>
                <w:szCs w:val="19"/>
              </w:rPr>
              <w:t xml:space="preserve">Auth middleware / sessions</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jc w:val="center"/>
            </w:pPr>
            <w:r>
              <w:rPr>
                <w:rFonts w:ascii="Arial" w:cs="Arial" w:eastAsia="Arial" w:hAnsi="Arial"/>
                <w:color w:val="6B7280"/>
                <w:sz w:val="19"/>
                <w:szCs w:val="19"/>
              </w:rPr>
              <w:t xml:space="preserve">21.9k</w:t>
            </w:r>
          </w:p>
        </w:tc>
        <w:tc>
          <w:tcPr>
            <w:tcW w:type="dxa" w:w="25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color w:val="1F2937"/>
                <w:sz w:val="19"/>
                <w:szCs w:val="19"/>
              </w:rPr>
              <w:t xml:space="preserve">Development</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bCs/>
                <w:color w:val="1E40AF"/>
                <w:sz w:val="19"/>
                <w:szCs w:val="19"/>
              </w:rPr>
              <w:t xml:space="preserve">nextjs-stack</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color w:val="1F2937"/>
                <w:sz w:val="19"/>
                <w:szCs w:val="19"/>
              </w:rPr>
              <w:t xml:space="preserve">Next.js 16 + Prisma patterns</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jc w:val="center"/>
            </w:pPr>
            <w:r>
              <w:rPr>
                <w:rFonts w:ascii="Arial" w:cs="Arial" w:eastAsia="Arial" w:hAnsi="Arial"/>
                <w:color w:val="6B7280"/>
                <w:sz w:val="19"/>
                <w:szCs w:val="19"/>
              </w:rPr>
              <w:t xml:space="preserve">2</w:t>
            </w:r>
          </w:p>
        </w:tc>
        <w:tc>
          <w:tcPr>
            <w:tcW w:type="dxa" w:w="25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color w:val="1F2937"/>
                <w:sz w:val="19"/>
                <w:szCs w:val="19"/>
              </w:rPr>
              <w:t xml:space="preserve">Development</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bCs/>
                <w:color w:val="1E40AF"/>
                <w:sz w:val="19"/>
                <w:szCs w:val="19"/>
              </w:rPr>
              <w:t xml:space="preserve">tailwind-patterns</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color w:val="1F2937"/>
                <w:sz w:val="19"/>
                <w:szCs w:val="19"/>
              </w:rPr>
              <w:t xml:space="preserve">Mobile responsive (In progress)</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jc w:val="center"/>
            </w:pPr>
            <w:r>
              <w:rPr>
                <w:rFonts w:ascii="Arial" w:cs="Arial" w:eastAsia="Arial" w:hAnsi="Arial"/>
                <w:color w:val="6B7280"/>
                <w:sz w:val="19"/>
                <w:szCs w:val="19"/>
              </w:rPr>
              <w:t xml:space="preserve">26.1k</w:t>
            </w:r>
          </w:p>
        </w:tc>
        <w:tc>
          <w:tcPr>
            <w:tcW w:type="dxa" w:w="25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color w:val="1F2937"/>
                <w:sz w:val="19"/>
                <w:szCs w:val="19"/>
              </w:rPr>
              <w:t xml:space="preserve">Development</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bCs/>
                <w:color w:val="1E40AF"/>
                <w:sz w:val="19"/>
                <w:szCs w:val="19"/>
              </w:rPr>
              <w:t xml:space="preserve">real-estate-expert</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color w:val="1F2937"/>
                <w:sz w:val="19"/>
                <w:szCs w:val="19"/>
              </w:rPr>
              <w:t xml:space="preserve">Properties page (Minimal)</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jc w:val="center"/>
            </w:pPr>
            <w:r>
              <w:rPr>
                <w:rFonts w:ascii="Arial" w:cs="Arial" w:eastAsia="Arial" w:hAnsi="Arial"/>
                <w:color w:val="6B7280"/>
                <w:sz w:val="19"/>
                <w:szCs w:val="19"/>
              </w:rPr>
              <w:t xml:space="preserve">46</w:t>
            </w:r>
          </w:p>
        </w:tc>
        <w:tc>
          <w:tcPr>
            <w:tcW w:type="dxa" w:w="25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color w:val="1F2937"/>
                <w:sz w:val="19"/>
                <w:szCs w:val="19"/>
              </w:rPr>
              <w:t xml:space="preserve">Real Estate</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bCs/>
                <w:color w:val="1E40AF"/>
                <w:sz w:val="19"/>
                <w:szCs w:val="19"/>
              </w:rPr>
              <w:t xml:space="preserve">crm-lead-scorer</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color w:val="1F2937"/>
                <w:sz w:val="19"/>
                <w:szCs w:val="19"/>
              </w:rPr>
              <w:t xml:space="preserve">Lead scoring (Needs tuning)</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jc w:val="center"/>
            </w:pPr>
            <w:r>
              <w:rPr>
                <w:rFonts w:ascii="Arial" w:cs="Arial" w:eastAsia="Arial" w:hAnsi="Arial"/>
                <w:color w:val="6B7280"/>
                <w:sz w:val="19"/>
                <w:szCs w:val="19"/>
              </w:rPr>
              <w:t xml:space="preserve">0</w:t>
            </w:r>
          </w:p>
        </w:tc>
        <w:tc>
          <w:tcPr>
            <w:tcW w:type="dxa" w:w="25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color w:val="1F2937"/>
                <w:sz w:val="19"/>
                <w:szCs w:val="19"/>
              </w:rPr>
              <w:t xml:space="preserve">Business</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bCs/>
                <w:color w:val="1E40AF"/>
                <w:sz w:val="19"/>
                <w:szCs w:val="19"/>
              </w:rPr>
              <w:t xml:space="preserve">real-estate-crm-email</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color w:val="1F2937"/>
                <w:sz w:val="19"/>
                <w:szCs w:val="19"/>
              </w:rPr>
              <w:t xml:space="preserve">Email + CRM workflow</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jc w:val="center"/>
            </w:pPr>
            <w:r>
              <w:rPr>
                <w:rFonts w:ascii="Arial" w:cs="Arial" w:eastAsia="Arial" w:hAnsi="Arial"/>
                <w:color w:val="6B7280"/>
                <w:sz w:val="19"/>
                <w:szCs w:val="19"/>
              </w:rPr>
              <w:t xml:space="preserve">0</w:t>
            </w:r>
          </w:p>
        </w:tc>
        <w:tc>
          <w:tcPr>
            <w:tcW w:type="dxa" w:w="25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color w:val="1F2937"/>
                <w:sz w:val="19"/>
                <w:szCs w:val="19"/>
              </w:rPr>
              <w:t xml:space="preserve">Business</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bCs/>
                <w:color w:val="1E40AF"/>
                <w:sz w:val="19"/>
                <w:szCs w:val="19"/>
              </w:rPr>
              <w:t xml:space="preserve">email-processor</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color w:val="1F2937"/>
                <w:sz w:val="19"/>
                <w:szCs w:val="19"/>
              </w:rPr>
              <w:t xml:space="preserve">Email categorizer pipeline</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jc w:val="center"/>
            </w:pPr>
            <w:r>
              <w:rPr>
                <w:rFonts w:ascii="Arial" w:cs="Arial" w:eastAsia="Arial" w:hAnsi="Arial"/>
                <w:color w:val="6B7280"/>
                <w:sz w:val="19"/>
                <w:szCs w:val="19"/>
              </w:rPr>
              <w:t xml:space="preserve">1.8k</w:t>
            </w:r>
          </w:p>
        </w:tc>
        <w:tc>
          <w:tcPr>
            <w:tcW w:type="dxa" w:w="25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color w:val="1F2937"/>
                <w:sz w:val="19"/>
                <w:szCs w:val="19"/>
              </w:rPr>
              <w:t xml:space="preserve">Automation</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bCs/>
                <w:color w:val="1E40AF"/>
                <w:sz w:val="19"/>
                <w:szCs w:val="19"/>
              </w:rPr>
              <w:t xml:space="preserve">docker-containerization</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color w:val="1F2937"/>
                <w:sz w:val="19"/>
                <w:szCs w:val="19"/>
              </w:rPr>
              <w:t xml:space="preserve">Dockerfile optimization</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jc w:val="center"/>
            </w:pPr>
            <w:r>
              <w:rPr>
                <w:rFonts w:ascii="Arial" w:cs="Arial" w:eastAsia="Arial" w:hAnsi="Arial"/>
                <w:color w:val="6B7280"/>
                <w:sz w:val="19"/>
                <w:szCs w:val="19"/>
              </w:rPr>
              <w:t xml:space="preserve">1.8k</w:t>
            </w:r>
          </w:p>
        </w:tc>
        <w:tc>
          <w:tcPr>
            <w:tcW w:type="dxa" w:w="25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color w:val="1F2937"/>
                <w:sz w:val="19"/>
                <w:szCs w:val="19"/>
              </w:rPr>
              <w:t xml:space="preserve">Tools</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bCs/>
                <w:color w:val="1E40AF"/>
                <w:sz w:val="19"/>
                <w:szCs w:val="19"/>
              </w:rPr>
              <w:t xml:space="preserve">ui-ux-pro-max</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color w:val="1F2937"/>
                <w:sz w:val="19"/>
                <w:szCs w:val="19"/>
              </w:rPr>
              <w:t xml:space="preserve">Design system / UI polish</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jc w:val="center"/>
            </w:pPr>
            <w:r>
              <w:rPr>
                <w:rFonts w:ascii="Arial" w:cs="Arial" w:eastAsia="Arial" w:hAnsi="Arial"/>
                <w:color w:val="6B7280"/>
                <w:sz w:val="19"/>
                <w:szCs w:val="19"/>
              </w:rPr>
              <w:t xml:space="preserve">21.9k</w:t>
            </w:r>
          </w:p>
        </w:tc>
        <w:tc>
          <w:tcPr>
            <w:tcW w:type="dxa" w:w="25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color w:val="1F2937"/>
                <w:sz w:val="19"/>
                <w:szCs w:val="19"/>
              </w:rPr>
              <w:t xml:space="preserve">Development</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bCs/>
                <w:color w:val="1E40AF"/>
                <w:sz w:val="19"/>
                <w:szCs w:val="19"/>
              </w:rPr>
              <w:t xml:space="preserve">data-privacy-compliance</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color w:val="1F2937"/>
                <w:sz w:val="19"/>
                <w:szCs w:val="19"/>
              </w:rPr>
              <w:t xml:space="preserve">PII handling / compliance</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jc w:val="center"/>
            </w:pPr>
            <w:r>
              <w:rPr>
                <w:rFonts w:ascii="Arial" w:cs="Arial" w:eastAsia="Arial" w:hAnsi="Arial"/>
                <w:color w:val="6B7280"/>
                <w:sz w:val="19"/>
                <w:szCs w:val="19"/>
              </w:rPr>
              <w:t xml:space="preserve">21.9k</w:t>
            </w:r>
          </w:p>
        </w:tc>
        <w:tc>
          <w:tcPr>
            <w:tcW w:type="dxa" w:w="25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color w:val="1F2937"/>
                <w:sz w:val="19"/>
                <w:szCs w:val="19"/>
              </w:rPr>
              <w:t xml:space="preserve">Real Estate &amp; Legal</w:t>
            </w:r>
          </w:p>
        </w:tc>
      </w:tr>
    </w:tbl>
    <w:p>
      <w:r>
        <w:br w:type="page"/>
      </w:r>
    </w:p>
    <w:p>
      <w:pPr>
        <w:pBdr>
          <w:bottom w:val="single" w:color="1E40AF" w:sz="4" w:space="4"/>
        </w:pBdr>
        <w:spacing w:after="160" w:before="300"/>
      </w:pPr>
      <w:r>
        <w:rPr>
          <w:rFonts w:ascii="Arial" w:cs="Arial" w:eastAsia="Arial" w:hAnsi="Arial"/>
          <w:b/>
          <w:bCs/>
          <w:color w:val="1E40AF"/>
          <w:sz w:val="26"/>
          <w:szCs w:val="26"/>
        </w:rPr>
        <w:t xml:space="preserve">Tier 1 — Addresses Pending Features (Highest Priority)</w:t>
      </w:r>
    </w:p>
    <w:p>
      <w:pPr>
        <w:spacing w:after="120"/>
      </w:pPr>
      <w:r>
        <w:rPr>
          <w:rFonts w:ascii="Arial" w:cs="Arial" w:eastAsia="Arial" w:hAnsi="Arial"/>
          <w:color w:val="1F2937"/>
          <w:sz w:val="22"/>
          <w:szCs w:val="22"/>
        </w:rPr>
        <w:t xml:space="preserve">These skills directly address features listed as “Not started” or “Not built” in the VettdRE roadmap.</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3C5FD" w:sz="1"/>
              <w:left w:val="single" w:color="93C5FD" w:sz="1"/>
              <w:bottom w:val="none"/>
              <w:right w:val="single" w:color="93C5FD" w:sz="1"/>
            </w:tcBorders>
            <w:shd w:fill="DBEAFE" w:val="clear"/>
            <w:tcMar>
              <w:top w:type="dxa" w:w="80"/>
              <w:left w:type="dxa" w:w="160"/>
              <w:bottom w:type="dxa" w:w="40"/>
              <w:right w:type="dxa" w:w="160"/>
            </w:tcMar>
          </w:tcPr>
          <w:p>
            <w:pPr>
              <w:spacing w:after="0"/>
            </w:pPr>
            <w:r>
              <w:rPr>
                <w:rFonts w:ascii="Arial" w:cs="Arial" w:eastAsia="Arial" w:hAnsi="Arial"/>
                <w:b/>
                <w:bCs/>
                <w:color w:val="1E40AF"/>
                <w:sz w:val="24"/>
                <w:szCs w:val="24"/>
              </w:rPr>
              <w:t xml:space="preserve">nextjs-pwa</w:t>
            </w:r>
            <w:r>
              <w:rPr>
                <w:rFonts w:ascii="Arial" w:cs="Arial" w:eastAsia="Arial" w:hAnsi="Arial"/>
                <w:color w:val="6B7280"/>
                <w:sz w:val="20"/>
                <w:szCs w:val="20"/>
              </w:rPr>
              <w:t xml:space="preserve">   ★ 46</w:t>
            </w:r>
          </w:p>
          <w:p>
            <w:pPr>
              <w:spacing w:after="0"/>
            </w:pPr>
            <w:r>
              <w:rPr>
                <w:rFonts w:ascii="Arial" w:cs="Arial" w:eastAsia="Arial" w:hAnsi="Arial"/>
                <w:i/>
                <w:iCs/>
                <w:color w:val="6B7280"/>
                <w:sz w:val="18"/>
                <w:szCs w:val="18"/>
              </w:rPr>
              <w:t xml:space="preserve">by NeverSight/learn-skills.dev</w:t>
            </w:r>
          </w:p>
        </w:tc>
      </w:tr>
      <w:tr>
        <w:tc>
          <w:tcPr>
            <w:tcW w:type="dxa" w:w="9360"/>
            <w:tcBorders>
              <w:top w:val="none"/>
              <w:left w:val="single" w:color="D1D5DB" w:sz="1"/>
              <w:bottom w:val="single" w:color="D1D5DB" w:sz="1"/>
              <w:right w:val="single" w:color="D1D5DB" w:sz="1"/>
            </w:tcBorders>
            <w:tcMar>
              <w:top w:type="dxa" w:w="60"/>
              <w:left w:type="dxa" w:w="160"/>
              <w:bottom w:type="dxa" w:w="100"/>
              <w:right w:type="dxa" w:w="160"/>
            </w:tcMar>
          </w:tcPr>
          <w:p>
            <w:pPr>
              <w:spacing w:after="0"/>
            </w:pPr>
            <w:r>
              <w:rPr>
                <w:rFonts w:ascii="Arial" w:cs="Arial" w:eastAsia="Arial" w:hAnsi="Arial"/>
                <w:color w:val="1F2937"/>
                <w:sz w:val="21"/>
                <w:szCs w:val="21"/>
              </w:rPr>
              <w:t xml:space="preserve">Comprehensive guide for building PWAs with Next.js using modern approaches. Covers Serwist package for advanced offline capabilities, service worker management, install prompts, push notifications, and caching strategies. VettdRE already has manifest.json and PWA meta tags — this skill bridges the gap to true offline-first installability for agents in the field.</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3C5FD" w:sz="1"/>
              <w:left w:val="single" w:color="93C5FD" w:sz="1"/>
              <w:bottom w:val="none"/>
              <w:right w:val="single" w:color="93C5FD" w:sz="1"/>
            </w:tcBorders>
            <w:shd w:fill="DBEAFE" w:val="clear"/>
            <w:tcMar>
              <w:top w:type="dxa" w:w="80"/>
              <w:left w:type="dxa" w:w="160"/>
              <w:bottom w:type="dxa" w:w="40"/>
              <w:right w:type="dxa" w:w="160"/>
            </w:tcMar>
          </w:tcPr>
          <w:p>
            <w:pPr>
              <w:spacing w:after="0"/>
            </w:pPr>
            <w:r>
              <w:rPr>
                <w:rFonts w:ascii="Arial" w:cs="Arial" w:eastAsia="Arial" w:hAnsi="Arial"/>
                <w:b/>
                <w:bCs/>
                <w:color w:val="1E40AF"/>
                <w:sz w:val="24"/>
                <w:szCs w:val="24"/>
              </w:rPr>
              <w:t xml:space="preserve">pwa-patterns</w:t>
            </w:r>
            <w:r>
              <w:rPr>
                <w:rFonts w:ascii="Arial" w:cs="Arial" w:eastAsia="Arial" w:hAnsi="Arial"/>
                <w:color w:val="6B7280"/>
                <w:sz w:val="20"/>
                <w:szCs w:val="20"/>
              </w:rPr>
              <w:t xml:space="preserve">   ★ 46</w:t>
            </w:r>
          </w:p>
          <w:p>
            <w:pPr>
              <w:spacing w:after="0"/>
            </w:pPr>
            <w:r>
              <w:rPr>
                <w:rFonts w:ascii="Arial" w:cs="Arial" w:eastAsia="Arial" w:hAnsi="Arial"/>
                <w:i/>
                <w:iCs/>
                <w:color w:val="6B7280"/>
                <w:sz w:val="18"/>
                <w:szCs w:val="18"/>
              </w:rPr>
              <w:t xml:space="preserve">by NeverSight/learn-skills.dev</w:t>
            </w:r>
          </w:p>
        </w:tc>
      </w:tr>
      <w:tr>
        <w:tc>
          <w:tcPr>
            <w:tcW w:type="dxa" w:w="9360"/>
            <w:tcBorders>
              <w:top w:val="none"/>
              <w:left w:val="single" w:color="D1D5DB" w:sz="1"/>
              <w:bottom w:val="single" w:color="D1D5DB" w:sz="1"/>
              <w:right w:val="single" w:color="D1D5DB" w:sz="1"/>
            </w:tcBorders>
            <w:tcMar>
              <w:top w:type="dxa" w:w="60"/>
              <w:left w:type="dxa" w:w="160"/>
              <w:bottom w:type="dxa" w:w="100"/>
              <w:right w:type="dxa" w:w="160"/>
            </w:tcMar>
          </w:tcPr>
          <w:p>
            <w:pPr>
              <w:spacing w:after="0"/>
            </w:pPr>
            <w:r>
              <w:rPr>
                <w:rFonts w:ascii="Arial" w:cs="Arial" w:eastAsia="Arial" w:hAnsi="Arial"/>
                <w:color w:val="1F2937"/>
                <w:sz w:val="21"/>
                <w:szCs w:val="21"/>
              </w:rPr>
              <w:t xml:space="preserve">Progressive Web App patterns with Workbox 7.x, service worker lifecycle management, and offline-first strategies. Complements nextjs-pwa by providing lower-level caching patterns (cache-first, network-first, stale-while-revalidate) critical for offline building profile access and contact data.</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3C5FD" w:sz="1"/>
              <w:left w:val="single" w:color="93C5FD" w:sz="1"/>
              <w:bottom w:val="none"/>
              <w:right w:val="single" w:color="93C5FD" w:sz="1"/>
            </w:tcBorders>
            <w:shd w:fill="DBEAFE" w:val="clear"/>
            <w:tcMar>
              <w:top w:type="dxa" w:w="80"/>
              <w:left w:type="dxa" w:w="160"/>
              <w:bottom w:type="dxa" w:w="40"/>
              <w:right w:type="dxa" w:w="160"/>
            </w:tcMar>
          </w:tcPr>
          <w:p>
            <w:pPr>
              <w:spacing w:after="0"/>
            </w:pPr>
            <w:r>
              <w:rPr>
                <w:rFonts w:ascii="Arial" w:cs="Arial" w:eastAsia="Arial" w:hAnsi="Arial"/>
                <w:b/>
                <w:bCs/>
                <w:color w:val="1E40AF"/>
                <w:sz w:val="24"/>
                <w:szCs w:val="24"/>
              </w:rPr>
              <w:t xml:space="preserve">analytics-metrics</w:t>
            </w:r>
            <w:r>
              <w:rPr>
                <w:rFonts w:ascii="Arial" w:cs="Arial" w:eastAsia="Arial" w:hAnsi="Arial"/>
                <w:color w:val="6B7280"/>
                <w:sz w:val="20"/>
                <w:szCs w:val="20"/>
              </w:rPr>
              <w:t xml:space="preserve">   ★ 110</w:t>
            </w:r>
          </w:p>
          <w:p>
            <w:pPr>
              <w:spacing w:after="0"/>
            </w:pPr>
            <w:r>
              <w:rPr>
                <w:rFonts w:ascii="Arial" w:cs="Arial" w:eastAsia="Arial" w:hAnsi="Arial"/>
                <w:i/>
                <w:iCs/>
                <w:color w:val="6B7280"/>
                <w:sz w:val="18"/>
                <w:szCs w:val="18"/>
              </w:rPr>
              <w:t xml:space="preserve">by hoodini/ai-agents-skills</w:t>
            </w:r>
          </w:p>
        </w:tc>
      </w:tr>
      <w:tr>
        <w:tc>
          <w:tcPr>
            <w:tcW w:type="dxa" w:w="9360"/>
            <w:tcBorders>
              <w:top w:val="none"/>
              <w:left w:val="single" w:color="D1D5DB" w:sz="1"/>
              <w:bottom w:val="single" w:color="D1D5DB" w:sz="1"/>
              <w:right w:val="single" w:color="D1D5DB" w:sz="1"/>
            </w:tcBorders>
            <w:tcMar>
              <w:top w:type="dxa" w:w="60"/>
              <w:left w:type="dxa" w:w="160"/>
              <w:bottom w:type="dxa" w:w="100"/>
              <w:right w:type="dxa" w:w="160"/>
            </w:tcMar>
          </w:tcPr>
          <w:p>
            <w:pPr>
              <w:spacing w:after="0"/>
            </w:pPr>
            <w:r>
              <w:rPr>
                <w:rFonts w:ascii="Arial" w:cs="Arial" w:eastAsia="Arial" w:hAnsi="Arial"/>
                <w:color w:val="1F2937"/>
                <w:sz w:val="21"/>
                <w:szCs w:val="21"/>
              </w:rPr>
              <w:t xml:space="preserve">Build data visualization and analytics dashboards with KPI displays, metrics charts, and data-driven reporting. Directly addresses VettdRE’s unbuilt /analytics and /insights pages. Can guide implementation of deal pipeline analytics, lead conversion funnels, and agent performance tracking.</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3C5FD" w:sz="1"/>
              <w:left w:val="single" w:color="93C5FD" w:sz="1"/>
              <w:bottom w:val="none"/>
              <w:right w:val="single" w:color="93C5FD" w:sz="1"/>
            </w:tcBorders>
            <w:shd w:fill="DBEAFE" w:val="clear"/>
            <w:tcMar>
              <w:top w:type="dxa" w:w="80"/>
              <w:left w:type="dxa" w:w="160"/>
              <w:bottom w:type="dxa" w:w="40"/>
              <w:right w:type="dxa" w:w="160"/>
            </w:tcMar>
          </w:tcPr>
          <w:p>
            <w:pPr>
              <w:spacing w:after="0"/>
            </w:pPr>
            <w:r>
              <w:rPr>
                <w:rFonts w:ascii="Arial" w:cs="Arial" w:eastAsia="Arial" w:hAnsi="Arial"/>
                <w:b/>
                <w:bCs/>
                <w:color w:val="1E40AF"/>
                <w:sz w:val="24"/>
                <w:szCs w:val="24"/>
              </w:rPr>
              <w:t xml:space="preserve">tremor-design-system</w:t>
            </w:r>
            <w:r>
              <w:rPr>
                <w:rFonts w:ascii="Arial" w:cs="Arial" w:eastAsia="Arial" w:hAnsi="Arial"/>
                <w:color w:val="6B7280"/>
                <w:sz w:val="20"/>
                <w:szCs w:val="20"/>
              </w:rPr>
              <w:t xml:space="preserve">   ★ 46</w:t>
            </w:r>
          </w:p>
          <w:p>
            <w:pPr>
              <w:spacing w:after="0"/>
            </w:pPr>
            <w:r>
              <w:rPr>
                <w:rFonts w:ascii="Arial" w:cs="Arial" w:eastAsia="Arial" w:hAnsi="Arial"/>
                <w:i/>
                <w:iCs/>
                <w:color w:val="6B7280"/>
                <w:sz w:val="18"/>
                <w:szCs w:val="18"/>
              </w:rPr>
              <w:t xml:space="preserve">by NeverSight/learn-skills.dev</w:t>
            </w:r>
          </w:p>
        </w:tc>
      </w:tr>
      <w:tr>
        <w:tc>
          <w:tcPr>
            <w:tcW w:type="dxa" w:w="9360"/>
            <w:tcBorders>
              <w:top w:val="none"/>
              <w:left w:val="single" w:color="D1D5DB" w:sz="1"/>
              <w:bottom w:val="single" w:color="D1D5DB" w:sz="1"/>
              <w:right w:val="single" w:color="D1D5DB" w:sz="1"/>
            </w:tcBorders>
            <w:tcMar>
              <w:top w:type="dxa" w:w="60"/>
              <w:left w:type="dxa" w:w="160"/>
              <w:bottom w:type="dxa" w:w="100"/>
              <w:right w:type="dxa" w:w="160"/>
            </w:tcMar>
          </w:tcPr>
          <w:p>
            <w:pPr>
              <w:spacing w:after="0"/>
            </w:pPr>
            <w:r>
              <w:rPr>
                <w:rFonts w:ascii="Arial" w:cs="Arial" w:eastAsia="Arial" w:hAnsi="Arial"/>
                <w:color w:val="1F2937"/>
                <w:sz w:val="21"/>
                <w:szCs w:val="21"/>
              </w:rPr>
              <w:t xml:space="preserve">Build dashboards, analytics interfaces, and data-rich UIs using the Tremor design system (React + Tailwind CSS + Recharts). Since VettdRE already uses Tailwind and React, this provides a cohesive component library for the Dashboard (currently showing placeholder stats) and the planned Analytics page.</w:t>
            </w:r>
          </w:p>
        </w:tc>
      </w:tr>
    </w:tbl>
    <w:p>
      <w:pPr>
        <w:spacing w:after="80"/>
      </w:pPr>
    </w:p>
    <w:p>
      <w:r>
        <w:br w:type="page"/>
      </w:r>
    </w:p>
    <w:p>
      <w:pPr>
        <w:pBdr>
          <w:bottom w:val="single" w:color="1E40AF" w:sz="4" w:space="4"/>
        </w:pBdr>
        <w:spacing w:after="160" w:before="300"/>
      </w:pPr>
      <w:r>
        <w:rPr>
          <w:rFonts w:ascii="Arial" w:cs="Arial" w:eastAsia="Arial" w:hAnsi="Arial"/>
          <w:b/>
          <w:bCs/>
          <w:color w:val="1E40AF"/>
          <w:sz w:val="26"/>
          <w:szCs w:val="26"/>
        </w:rPr>
        <w:t xml:space="preserve">Tier 2 — Strengthens Core Stack</w:t>
      </w:r>
    </w:p>
    <w:p>
      <w:pPr>
        <w:spacing w:after="120"/>
      </w:pPr>
      <w:r>
        <w:rPr>
          <w:rFonts w:ascii="Arial" w:cs="Arial" w:eastAsia="Arial" w:hAnsi="Arial"/>
          <w:color w:val="1F2937"/>
          <w:sz w:val="22"/>
          <w:szCs w:val="22"/>
        </w:rPr>
        <w:t xml:space="preserve">These skills improve development velocity and code quality for VettdRE’s existing tech stack.</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3C5FD" w:sz="1"/>
              <w:left w:val="single" w:color="93C5FD" w:sz="1"/>
              <w:bottom w:val="none"/>
              <w:right w:val="single" w:color="93C5FD" w:sz="1"/>
            </w:tcBorders>
            <w:shd w:fill="DBEAFE" w:val="clear"/>
            <w:tcMar>
              <w:top w:type="dxa" w:w="80"/>
              <w:left w:type="dxa" w:w="160"/>
              <w:bottom w:type="dxa" w:w="40"/>
              <w:right w:type="dxa" w:w="160"/>
            </w:tcMar>
          </w:tcPr>
          <w:p>
            <w:pPr>
              <w:spacing w:after="0"/>
            </w:pPr>
            <w:r>
              <w:rPr>
                <w:rFonts w:ascii="Arial" w:cs="Arial" w:eastAsia="Arial" w:hAnsi="Arial"/>
                <w:b/>
                <w:bCs/>
                <w:color w:val="1E40AF"/>
                <w:sz w:val="24"/>
                <w:szCs w:val="24"/>
              </w:rPr>
              <w:t xml:space="preserve">nextjs-supabase-auth</w:t>
            </w:r>
            <w:r>
              <w:rPr>
                <w:rFonts w:ascii="Arial" w:cs="Arial" w:eastAsia="Arial" w:hAnsi="Arial"/>
                <w:color w:val="6B7280"/>
                <w:sz w:val="20"/>
                <w:szCs w:val="20"/>
              </w:rPr>
              <w:t xml:space="preserve">   ★ 21.9k</w:t>
            </w:r>
          </w:p>
          <w:p>
            <w:pPr>
              <w:spacing w:after="0"/>
            </w:pPr>
            <w:r>
              <w:rPr>
                <w:rFonts w:ascii="Arial" w:cs="Arial" w:eastAsia="Arial" w:hAnsi="Arial"/>
                <w:i/>
                <w:iCs/>
                <w:color w:val="6B7280"/>
                <w:sz w:val="18"/>
                <w:szCs w:val="18"/>
              </w:rPr>
              <w:t xml:space="preserve">by davila7/claude-code-templates</w:t>
            </w:r>
          </w:p>
        </w:tc>
      </w:tr>
      <w:tr>
        <w:tc>
          <w:tcPr>
            <w:tcW w:type="dxa" w:w="9360"/>
            <w:tcBorders>
              <w:top w:val="none"/>
              <w:left w:val="single" w:color="D1D5DB" w:sz="1"/>
              <w:bottom w:val="single" w:color="D1D5DB" w:sz="1"/>
              <w:right w:val="single" w:color="D1D5DB" w:sz="1"/>
            </w:tcBorders>
            <w:tcMar>
              <w:top w:type="dxa" w:w="60"/>
              <w:left w:type="dxa" w:w="160"/>
              <w:bottom w:type="dxa" w:w="100"/>
              <w:right w:type="dxa" w:w="160"/>
            </w:tcMar>
          </w:tcPr>
          <w:p>
            <w:pPr>
              <w:spacing w:after="0"/>
            </w:pPr>
            <w:r>
              <w:rPr>
                <w:rFonts w:ascii="Arial" w:cs="Arial" w:eastAsia="Arial" w:hAnsi="Arial"/>
                <w:color w:val="1F2937"/>
                <w:sz w:val="21"/>
                <w:szCs w:val="21"/>
              </w:rPr>
              <w:t xml:space="preserve">Expert integration of Supabase Auth with Next.js App Router. Covers SSR middleware, session management, login/signup flows, and OAuth callbacks. Directly relevant to VettdRE’s auth + approval system, middleware flow, and the occasional Prisma/Supabase connection drops noted in known issues.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3C5FD" w:sz="1"/>
              <w:left w:val="single" w:color="93C5FD" w:sz="1"/>
              <w:bottom w:val="none"/>
              <w:right w:val="single" w:color="93C5FD" w:sz="1"/>
            </w:tcBorders>
            <w:shd w:fill="DBEAFE" w:val="clear"/>
            <w:tcMar>
              <w:top w:type="dxa" w:w="80"/>
              <w:left w:type="dxa" w:w="160"/>
              <w:bottom w:type="dxa" w:w="40"/>
              <w:right w:type="dxa" w:w="160"/>
            </w:tcMar>
          </w:tcPr>
          <w:p>
            <w:pPr>
              <w:spacing w:after="0"/>
            </w:pPr>
            <w:r>
              <w:rPr>
                <w:rFonts w:ascii="Arial" w:cs="Arial" w:eastAsia="Arial" w:hAnsi="Arial"/>
                <w:b/>
                <w:bCs/>
                <w:color w:val="1E40AF"/>
                <w:sz w:val="24"/>
                <w:szCs w:val="24"/>
              </w:rPr>
              <w:t xml:space="preserve">supastarter-nextjs-skill</w:t>
            </w:r>
            <w:r>
              <w:rPr>
                <w:rFonts w:ascii="Arial" w:cs="Arial" w:eastAsia="Arial" w:hAnsi="Arial"/>
                <w:color w:val="6B7280"/>
                <w:sz w:val="20"/>
                <w:szCs w:val="20"/>
              </w:rPr>
              <w:t xml:space="preserve">   ★ 46</w:t>
            </w:r>
          </w:p>
          <w:p>
            <w:pPr>
              <w:spacing w:after="0"/>
            </w:pPr>
            <w:r>
              <w:rPr>
                <w:rFonts w:ascii="Arial" w:cs="Arial" w:eastAsia="Arial" w:hAnsi="Arial"/>
                <w:i/>
                <w:iCs/>
                <w:color w:val="6B7280"/>
                <w:sz w:val="18"/>
                <w:szCs w:val="18"/>
              </w:rPr>
              <w:t xml:space="preserve">by NeverSight/learn-skills.dev</w:t>
            </w:r>
          </w:p>
        </w:tc>
      </w:tr>
      <w:tr>
        <w:tc>
          <w:tcPr>
            <w:tcW w:type="dxa" w:w="9360"/>
            <w:tcBorders>
              <w:top w:val="none"/>
              <w:left w:val="single" w:color="D1D5DB" w:sz="1"/>
              <w:bottom w:val="single" w:color="D1D5DB" w:sz="1"/>
              <w:right w:val="single" w:color="D1D5DB" w:sz="1"/>
            </w:tcBorders>
            <w:tcMar>
              <w:top w:type="dxa" w:w="60"/>
              <w:left w:type="dxa" w:w="160"/>
              <w:bottom w:type="dxa" w:w="100"/>
              <w:right w:type="dxa" w:w="160"/>
            </w:tcMar>
          </w:tcPr>
          <w:p>
            <w:pPr>
              <w:spacing w:after="0"/>
            </w:pPr>
            <w:r>
              <w:rPr>
                <w:rFonts w:ascii="Arial" w:cs="Arial" w:eastAsia="Arial" w:hAnsi="Arial"/>
                <w:color w:val="1F2937"/>
                <w:sz w:val="21"/>
                <w:szCs w:val="21"/>
              </w:rPr>
              <w:t xml:space="preserve">Guides Next.js development with Prisma database, Supabase, and API route patterns. Maps closely to VettdRE’s exact tech stack and provides conventions for server actions, database queries, and multi-tenant architecture patterns.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3C5FD" w:sz="1"/>
              <w:left w:val="single" w:color="93C5FD" w:sz="1"/>
              <w:bottom w:val="none"/>
              <w:right w:val="single" w:color="93C5FD" w:sz="1"/>
            </w:tcBorders>
            <w:shd w:fill="DBEAFE" w:val="clear"/>
            <w:tcMar>
              <w:top w:type="dxa" w:w="80"/>
              <w:left w:type="dxa" w:w="160"/>
              <w:bottom w:type="dxa" w:w="40"/>
              <w:right w:type="dxa" w:w="160"/>
            </w:tcMar>
          </w:tcPr>
          <w:p>
            <w:pPr>
              <w:spacing w:after="0"/>
            </w:pPr>
            <w:r>
              <w:rPr>
                <w:rFonts w:ascii="Arial" w:cs="Arial" w:eastAsia="Arial" w:hAnsi="Arial"/>
                <w:b/>
                <w:bCs/>
                <w:color w:val="1E40AF"/>
                <w:sz w:val="24"/>
                <w:szCs w:val="24"/>
              </w:rPr>
              <w:t xml:space="preserve">tailwind-patterns</w:t>
            </w:r>
            <w:r>
              <w:rPr>
                <w:rFonts w:ascii="Arial" w:cs="Arial" w:eastAsia="Arial" w:hAnsi="Arial"/>
                <w:color w:val="6B7280"/>
                <w:sz w:val="20"/>
                <w:szCs w:val="20"/>
              </w:rPr>
              <w:t xml:space="preserve">   ★ 26.1k</w:t>
            </w:r>
          </w:p>
          <w:p>
            <w:pPr>
              <w:spacing w:after="0"/>
            </w:pPr>
            <w:r>
              <w:rPr>
                <w:rFonts w:ascii="Arial" w:cs="Arial" w:eastAsia="Arial" w:hAnsi="Arial"/>
                <w:i/>
                <w:iCs/>
                <w:color w:val="6B7280"/>
                <w:sz w:val="18"/>
                <w:szCs w:val="18"/>
              </w:rPr>
              <w:t xml:space="preserve">by srbhr/Resume-Matcher</w:t>
            </w:r>
          </w:p>
        </w:tc>
      </w:tr>
      <w:tr>
        <w:tc>
          <w:tcPr>
            <w:tcW w:type="dxa" w:w="9360"/>
            <w:tcBorders>
              <w:top w:val="none"/>
              <w:left w:val="single" w:color="D1D5DB" w:sz="1"/>
              <w:bottom w:val="single" w:color="D1D5DB" w:sz="1"/>
              <w:right w:val="single" w:color="D1D5DB" w:sz="1"/>
            </w:tcBorders>
            <w:tcMar>
              <w:top w:type="dxa" w:w="60"/>
              <w:left w:type="dxa" w:w="160"/>
              <w:bottom w:type="dxa" w:w="100"/>
              <w:right w:type="dxa" w:w="160"/>
            </w:tcMar>
          </w:tcPr>
          <w:p>
            <w:pPr>
              <w:spacing w:after="0"/>
            </w:pPr>
            <w:r>
              <w:rPr>
                <w:rFonts w:ascii="Arial" w:cs="Arial" w:eastAsia="Arial" w:hAnsi="Arial"/>
                <w:color w:val="1F2937"/>
                <w:sz w:val="21"/>
                <w:szCs w:val="21"/>
              </w:rPr>
              <w:t xml:space="preserve">Production-ready Tailwind CSS patterns for responsive layouts, cards, navigation, forms, buttons, and typography. VettdRE’s MOBILE_SPEC lists significant responsive work still needed — contact card views, message pane adaptation, pipeline vertical stages, and calendar agenda-first on mobile. This skill provides proven mobile-first patterns.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3C5FD" w:sz="1"/>
              <w:left w:val="single" w:color="93C5FD" w:sz="1"/>
              <w:bottom w:val="none"/>
              <w:right w:val="single" w:color="93C5FD" w:sz="1"/>
            </w:tcBorders>
            <w:shd w:fill="DBEAFE" w:val="clear"/>
            <w:tcMar>
              <w:top w:type="dxa" w:w="80"/>
              <w:left w:type="dxa" w:w="160"/>
              <w:bottom w:type="dxa" w:w="40"/>
              <w:right w:type="dxa" w:w="160"/>
            </w:tcMar>
          </w:tcPr>
          <w:p>
            <w:pPr>
              <w:spacing w:after="0"/>
            </w:pPr>
            <w:r>
              <w:rPr>
                <w:rFonts w:ascii="Arial" w:cs="Arial" w:eastAsia="Arial" w:hAnsi="Arial"/>
                <w:b/>
                <w:bCs/>
                <w:color w:val="1E40AF"/>
                <w:sz w:val="24"/>
                <w:szCs w:val="24"/>
              </w:rPr>
              <w:t xml:space="preserve">nextjs-stack</w:t>
            </w:r>
            <w:r>
              <w:rPr>
                <w:rFonts w:ascii="Arial" w:cs="Arial" w:eastAsia="Arial" w:hAnsi="Arial"/>
                <w:color w:val="6B7280"/>
                <w:sz w:val="20"/>
                <w:szCs w:val="20"/>
              </w:rPr>
              <w:t xml:space="preserve">   ★ 2</w:t>
            </w:r>
          </w:p>
          <w:p>
            <w:pPr>
              <w:spacing w:after="0"/>
            </w:pPr>
            <w:r>
              <w:rPr>
                <w:rFonts w:ascii="Arial" w:cs="Arial" w:eastAsia="Arial" w:hAnsi="Arial"/>
                <w:i/>
                <w:iCs/>
                <w:color w:val="6B7280"/>
                <w:sz w:val="18"/>
                <w:szCs w:val="18"/>
              </w:rPr>
              <w:t xml:space="preserve">by fusengine/agents</w:t>
            </w:r>
          </w:p>
        </w:tc>
      </w:tr>
      <w:tr>
        <w:tc>
          <w:tcPr>
            <w:tcW w:type="dxa" w:w="9360"/>
            <w:tcBorders>
              <w:top w:val="none"/>
              <w:left w:val="single" w:color="D1D5DB" w:sz="1"/>
              <w:bottom w:val="single" w:color="D1D5DB" w:sz="1"/>
              <w:right w:val="single" w:color="D1D5DB" w:sz="1"/>
            </w:tcBorders>
            <w:tcMar>
              <w:top w:type="dxa" w:w="60"/>
              <w:left w:type="dxa" w:w="160"/>
              <w:bottom w:type="dxa" w:w="100"/>
              <w:right w:type="dxa" w:w="160"/>
            </w:tcMar>
          </w:tcPr>
          <w:p>
            <w:pPr>
              <w:spacing w:after="0"/>
            </w:pPr>
            <w:r>
              <w:rPr>
                <w:rFonts w:ascii="Arial" w:cs="Arial" w:eastAsia="Arial" w:hAnsi="Arial"/>
                <w:color w:val="1F2937"/>
                <w:sz w:val="21"/>
                <w:szCs w:val="21"/>
              </w:rPr>
              <w:t xml:space="preserve">Next.js 16+ complete stack with App Router, Prisma 7, Better Auth, shadcn/ui, TanStack Form, and Zustand. Covers the exact architecture pattern VettdRE uses and can serve as a reference for scaling the codebase.</w:t>
            </w:r>
          </w:p>
        </w:tc>
      </w:tr>
    </w:tbl>
    <w:p>
      <w:r>
        <w:br w:type="page"/>
      </w:r>
    </w:p>
    <w:p>
      <w:pPr>
        <w:pBdr>
          <w:bottom w:val="single" w:color="1E40AF" w:sz="4" w:space="4"/>
        </w:pBdr>
        <w:spacing w:after="160" w:before="300"/>
      </w:pPr>
      <w:r>
        <w:rPr>
          <w:rFonts w:ascii="Arial" w:cs="Arial" w:eastAsia="Arial" w:hAnsi="Arial"/>
          <w:b/>
          <w:bCs/>
          <w:color w:val="1E40AF"/>
          <w:sz w:val="26"/>
          <w:szCs w:val="26"/>
        </w:rPr>
        <w:t xml:space="preserve">Tier 3 — Enhances Specific Features</w:t>
      </w:r>
    </w:p>
    <w:p>
      <w:pPr>
        <w:spacing w:after="120"/>
      </w:pPr>
      <w:r>
        <w:rPr>
          <w:rFonts w:ascii="Arial" w:cs="Arial" w:eastAsia="Arial" w:hAnsi="Arial"/>
          <w:color w:val="1F2937"/>
          <w:sz w:val="22"/>
          <w:szCs w:val="22"/>
        </w:rPr>
        <w:t xml:space="preserve">These skills target individual VettdRE features that need improvement or expansion.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3C5FD" w:sz="1"/>
              <w:left w:val="single" w:color="93C5FD" w:sz="1"/>
              <w:bottom w:val="none"/>
              <w:right w:val="single" w:color="93C5FD" w:sz="1"/>
            </w:tcBorders>
            <w:shd w:fill="DBEAFE" w:val="clear"/>
            <w:tcMar>
              <w:top w:type="dxa" w:w="80"/>
              <w:left w:type="dxa" w:w="160"/>
              <w:bottom w:type="dxa" w:w="40"/>
              <w:right w:type="dxa" w:w="160"/>
            </w:tcMar>
          </w:tcPr>
          <w:p>
            <w:pPr>
              <w:spacing w:after="0"/>
            </w:pPr>
            <w:r>
              <w:rPr>
                <w:rFonts w:ascii="Arial" w:cs="Arial" w:eastAsia="Arial" w:hAnsi="Arial"/>
                <w:b/>
                <w:bCs/>
                <w:color w:val="1E40AF"/>
                <w:sz w:val="24"/>
                <w:szCs w:val="24"/>
              </w:rPr>
              <w:t xml:space="preserve">real-estate-expert</w:t>
            </w:r>
            <w:r>
              <w:rPr>
                <w:rFonts w:ascii="Arial" w:cs="Arial" w:eastAsia="Arial" w:hAnsi="Arial"/>
                <w:color w:val="6B7280"/>
                <w:sz w:val="20"/>
                <w:szCs w:val="20"/>
              </w:rPr>
              <w:t xml:space="preserve">   ★ 46</w:t>
            </w:r>
          </w:p>
          <w:p>
            <w:pPr>
              <w:spacing w:after="0"/>
            </w:pPr>
            <w:r>
              <w:rPr>
                <w:rFonts w:ascii="Arial" w:cs="Arial" w:eastAsia="Arial" w:hAnsi="Arial"/>
                <w:i/>
                <w:iCs/>
                <w:color w:val="6B7280"/>
                <w:sz w:val="18"/>
                <w:szCs w:val="18"/>
              </w:rPr>
              <w:t xml:space="preserve">by NeverSight/learn-skills.dev</w:t>
            </w:r>
          </w:p>
        </w:tc>
      </w:tr>
      <w:tr>
        <w:tc>
          <w:tcPr>
            <w:tcW w:type="dxa" w:w="9360"/>
            <w:tcBorders>
              <w:top w:val="none"/>
              <w:left w:val="single" w:color="D1D5DB" w:sz="1"/>
              <w:bottom w:val="single" w:color="D1D5DB" w:sz="1"/>
              <w:right w:val="single" w:color="D1D5DB" w:sz="1"/>
            </w:tcBorders>
            <w:tcMar>
              <w:top w:type="dxa" w:w="60"/>
              <w:left w:type="dxa" w:w="160"/>
              <w:bottom w:type="dxa" w:w="100"/>
              <w:right w:type="dxa" w:w="160"/>
            </w:tcMar>
          </w:tcPr>
          <w:p>
            <w:pPr>
              <w:spacing w:after="0"/>
            </w:pPr>
            <w:r>
              <w:rPr>
                <w:rFonts w:ascii="Arial" w:cs="Arial" w:eastAsia="Arial" w:hAnsi="Arial"/>
                <w:color w:val="1F2937"/>
                <w:sz w:val="21"/>
                <w:szCs w:val="21"/>
              </w:rPr>
              <w:t xml:space="preserve">Expert-level real estate systems covering property management, MLS integration, virtual tours, and market analysis. Can inform how to build out the Properties page (currently minimal/empty state) and enhance Market Intelligence with industry-standard patterns.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3C5FD" w:sz="1"/>
              <w:left w:val="single" w:color="93C5FD" w:sz="1"/>
              <w:bottom w:val="none"/>
              <w:right w:val="single" w:color="93C5FD" w:sz="1"/>
            </w:tcBorders>
            <w:shd w:fill="DBEAFE" w:val="clear"/>
            <w:tcMar>
              <w:top w:type="dxa" w:w="80"/>
              <w:left w:type="dxa" w:w="160"/>
              <w:bottom w:type="dxa" w:w="40"/>
              <w:right w:type="dxa" w:w="160"/>
            </w:tcMar>
          </w:tcPr>
          <w:p>
            <w:pPr>
              <w:spacing w:after="0"/>
            </w:pPr>
            <w:r>
              <w:rPr>
                <w:rFonts w:ascii="Arial" w:cs="Arial" w:eastAsia="Arial" w:hAnsi="Arial"/>
                <w:b/>
                <w:bCs/>
                <w:color w:val="1E40AF"/>
                <w:sz w:val="24"/>
                <w:szCs w:val="24"/>
              </w:rPr>
              <w:t xml:space="preserve">crm-lead-scorer</w:t>
            </w:r>
            <w:r>
              <w:rPr>
                <w:rFonts w:ascii="Arial" w:cs="Arial" w:eastAsia="Arial" w:hAnsi="Arial"/>
                <w:color w:val="6B7280"/>
                <w:sz w:val="20"/>
                <w:szCs w:val="20"/>
              </w:rPr>
              <w:t xml:space="preserve">   ★ 0</w:t>
            </w:r>
          </w:p>
          <w:p>
            <w:pPr>
              <w:spacing w:after="0"/>
            </w:pPr>
            <w:r>
              <w:rPr>
                <w:rFonts w:ascii="Arial" w:cs="Arial" w:eastAsia="Arial" w:hAnsi="Arial"/>
                <w:i/>
                <w:iCs/>
                <w:color w:val="6B7280"/>
                <w:sz w:val="18"/>
                <w:szCs w:val="18"/>
              </w:rPr>
              <w:t xml:space="preserve">by Eli-yu-first/skillshub</w:t>
            </w:r>
          </w:p>
        </w:tc>
      </w:tr>
      <w:tr>
        <w:tc>
          <w:tcPr>
            <w:tcW w:type="dxa" w:w="9360"/>
            <w:tcBorders>
              <w:top w:val="none"/>
              <w:left w:val="single" w:color="D1D5DB" w:sz="1"/>
              <w:bottom w:val="single" w:color="D1D5DB" w:sz="1"/>
              <w:right w:val="single" w:color="D1D5DB" w:sz="1"/>
            </w:tcBorders>
            <w:tcMar>
              <w:top w:type="dxa" w:w="60"/>
              <w:left w:type="dxa" w:w="160"/>
              <w:bottom w:type="dxa" w:w="100"/>
              <w:right w:type="dxa" w:w="160"/>
            </w:tcMar>
          </w:tcPr>
          <w:p>
            <w:pPr>
              <w:spacing w:after="0"/>
            </w:pPr>
            <w:r>
              <w:rPr>
                <w:rFonts w:ascii="Arial" w:cs="Arial" w:eastAsia="Arial" w:hAnsi="Arial"/>
                <w:color w:val="1F2937"/>
                <w:sz w:val="21"/>
                <w:szCs w:val="21"/>
              </w:rPr>
              <w:t xml:space="preserve">Scores real estate leads based on engagement, budget, timeline, and property preference matching. VettdRE’s lead scoring grading thresholds are noted as needing tuning for buyer vs. seller vs. owner contact types — this skill provides a specialized framework.</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3C5FD" w:sz="1"/>
              <w:left w:val="single" w:color="93C5FD" w:sz="1"/>
              <w:bottom w:val="none"/>
              <w:right w:val="single" w:color="93C5FD" w:sz="1"/>
            </w:tcBorders>
            <w:shd w:fill="DBEAFE" w:val="clear"/>
            <w:tcMar>
              <w:top w:type="dxa" w:w="80"/>
              <w:left w:type="dxa" w:w="160"/>
              <w:bottom w:type="dxa" w:w="40"/>
              <w:right w:type="dxa" w:w="160"/>
            </w:tcMar>
          </w:tcPr>
          <w:p>
            <w:pPr>
              <w:spacing w:after="0"/>
            </w:pPr>
            <w:r>
              <w:rPr>
                <w:rFonts w:ascii="Arial" w:cs="Arial" w:eastAsia="Arial" w:hAnsi="Arial"/>
                <w:b/>
                <w:bCs/>
                <w:color w:val="1E40AF"/>
                <w:sz w:val="24"/>
                <w:szCs w:val="24"/>
              </w:rPr>
              <w:t xml:space="preserve">email-processor</w:t>
            </w:r>
            <w:r>
              <w:rPr>
                <w:rFonts w:ascii="Arial" w:cs="Arial" w:eastAsia="Arial" w:hAnsi="Arial"/>
                <w:color w:val="6B7280"/>
                <w:sz w:val="20"/>
                <w:szCs w:val="20"/>
              </w:rPr>
              <w:t xml:space="preserve">   ★ 1.8k</w:t>
            </w:r>
          </w:p>
          <w:p>
            <w:pPr>
              <w:spacing w:after="0"/>
            </w:pPr>
            <w:r>
              <w:rPr>
                <w:rFonts w:ascii="Arial" w:cs="Arial" w:eastAsia="Arial" w:hAnsi="Arial"/>
                <w:i/>
                <w:iCs/>
                <w:color w:val="6B7280"/>
                <w:sz w:val="18"/>
                <w:szCs w:val="18"/>
              </w:rPr>
              <w:t xml:space="preserve">by openclaw/skills</w:t>
            </w:r>
          </w:p>
        </w:tc>
      </w:tr>
      <w:tr>
        <w:tc>
          <w:tcPr>
            <w:tcW w:type="dxa" w:w="9360"/>
            <w:tcBorders>
              <w:top w:val="none"/>
              <w:left w:val="single" w:color="D1D5DB" w:sz="1"/>
              <w:bottom w:val="single" w:color="D1D5DB" w:sz="1"/>
              <w:right w:val="single" w:color="D1D5DB" w:sz="1"/>
            </w:tcBorders>
            <w:tcMar>
              <w:top w:type="dxa" w:w="60"/>
              <w:left w:type="dxa" w:w="160"/>
              <w:bottom w:type="dxa" w:w="100"/>
              <w:right w:type="dxa" w:w="160"/>
            </w:tcMar>
          </w:tcPr>
          <w:p>
            <w:pPr>
              <w:spacing w:after="0"/>
            </w:pPr>
            <w:r>
              <w:rPr>
                <w:rFonts w:ascii="Arial" w:cs="Arial" w:eastAsia="Arial" w:hAnsi="Arial"/>
                <w:color w:val="1F2937"/>
                <w:sz w:val="21"/>
                <w:szCs w:val="21"/>
              </w:rPr>
              <w:t xml:space="preserve">Automates Gmail inbox processing: categorizes unread emails, marks marketing/newsletters/promotions as read, and applies classification logic. Could enhance VettdRE’s email-categorizer.ts and AI parsing pipeline with additional pattern-matching strategies.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3C5FD" w:sz="1"/>
              <w:left w:val="single" w:color="93C5FD" w:sz="1"/>
              <w:bottom w:val="none"/>
              <w:right w:val="single" w:color="93C5FD" w:sz="1"/>
            </w:tcBorders>
            <w:shd w:fill="DBEAFE" w:val="clear"/>
            <w:tcMar>
              <w:top w:type="dxa" w:w="80"/>
              <w:left w:type="dxa" w:w="160"/>
              <w:bottom w:type="dxa" w:w="40"/>
              <w:right w:type="dxa" w:w="160"/>
            </w:tcMar>
          </w:tcPr>
          <w:p>
            <w:pPr>
              <w:spacing w:after="0"/>
            </w:pPr>
            <w:r>
              <w:rPr>
                <w:rFonts w:ascii="Arial" w:cs="Arial" w:eastAsia="Arial" w:hAnsi="Arial"/>
                <w:b/>
                <w:bCs/>
                <w:color w:val="1E40AF"/>
                <w:sz w:val="24"/>
                <w:szCs w:val="24"/>
              </w:rPr>
              <w:t xml:space="preserve">docker-containerization</w:t>
            </w:r>
            <w:r>
              <w:rPr>
                <w:rFonts w:ascii="Arial" w:cs="Arial" w:eastAsia="Arial" w:hAnsi="Arial"/>
                <w:color w:val="6B7280"/>
                <w:sz w:val="20"/>
                <w:szCs w:val="20"/>
              </w:rPr>
              <w:t xml:space="preserve">   ★ 1.8k</w:t>
            </w:r>
          </w:p>
          <w:p>
            <w:pPr>
              <w:spacing w:after="0"/>
            </w:pPr>
            <w:r>
              <w:rPr>
                <w:rFonts w:ascii="Arial" w:cs="Arial" w:eastAsia="Arial" w:hAnsi="Arial"/>
                <w:i/>
                <w:iCs/>
                <w:color w:val="6B7280"/>
                <w:sz w:val="18"/>
                <w:szCs w:val="18"/>
              </w:rPr>
              <w:t xml:space="preserve">by openclaw/skills</w:t>
            </w:r>
          </w:p>
        </w:tc>
      </w:tr>
      <w:tr>
        <w:tc>
          <w:tcPr>
            <w:tcW w:type="dxa" w:w="9360"/>
            <w:tcBorders>
              <w:top w:val="none"/>
              <w:left w:val="single" w:color="D1D5DB" w:sz="1"/>
              <w:bottom w:val="single" w:color="D1D5DB" w:sz="1"/>
              <w:right w:val="single" w:color="D1D5DB" w:sz="1"/>
            </w:tcBorders>
            <w:tcMar>
              <w:top w:type="dxa" w:w="60"/>
              <w:left w:type="dxa" w:w="160"/>
              <w:bottom w:type="dxa" w:w="100"/>
              <w:right w:type="dxa" w:w="160"/>
            </w:tcMar>
          </w:tcPr>
          <w:p>
            <w:pPr>
              <w:spacing w:after="0"/>
            </w:pPr>
            <w:r>
              <w:rPr>
                <w:rFonts w:ascii="Arial" w:cs="Arial" w:eastAsia="Arial" w:hAnsi="Arial"/>
                <w:color w:val="1F2937"/>
                <w:sz w:val="21"/>
                <w:szCs w:val="21"/>
              </w:rPr>
              <w:t xml:space="preserve">Best practices for containerizing applications with Docker, creating optimized Dockerfiles, and managing docker-compose configurations. Useful for optimizing VettdRE’s multi-stage Dockerfile (Node 20-Alpine) and Cloud Run deployment pipeline.</w:t>
            </w:r>
          </w:p>
        </w:tc>
      </w:tr>
    </w:tbl>
    <w:p>
      <w:r>
        <w:br w:type="page"/>
      </w:r>
    </w:p>
    <w:p>
      <w:pPr>
        <w:pBdr>
          <w:bottom w:val="single" w:color="1E40AF" w:sz="4" w:space="4"/>
        </w:pBdr>
        <w:spacing w:after="160" w:before="300"/>
      </w:pPr>
      <w:r>
        <w:rPr>
          <w:rFonts w:ascii="Arial" w:cs="Arial" w:eastAsia="Arial" w:hAnsi="Arial"/>
          <w:b/>
          <w:bCs/>
          <w:color w:val="1E40AF"/>
          <w:sz w:val="26"/>
          <w:szCs w:val="26"/>
        </w:rPr>
        <w:t xml:space="preserve">Tier 4 — Future Considerations</w:t>
      </w:r>
    </w:p>
    <w:p>
      <w:pPr>
        <w:spacing w:after="120"/>
      </w:pPr>
      <w:r>
        <w:rPr>
          <w:rFonts w:ascii="Arial" w:cs="Arial" w:eastAsia="Arial" w:hAnsi="Arial"/>
          <w:color w:val="1F2937"/>
          <w:sz w:val="22"/>
          <w:szCs w:val="22"/>
        </w:rPr>
        <w:t xml:space="preserve">These skills become relevant as VettdRE scales or when specific future features are prioritized.</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3C5FD" w:sz="1"/>
              <w:left w:val="single" w:color="93C5FD" w:sz="1"/>
              <w:bottom w:val="none"/>
              <w:right w:val="single" w:color="93C5FD" w:sz="1"/>
            </w:tcBorders>
            <w:shd w:fill="DBEAFE" w:val="clear"/>
            <w:tcMar>
              <w:top w:type="dxa" w:w="80"/>
              <w:left w:type="dxa" w:w="160"/>
              <w:bottom w:type="dxa" w:w="40"/>
              <w:right w:type="dxa" w:w="160"/>
            </w:tcMar>
          </w:tcPr>
          <w:p>
            <w:pPr>
              <w:spacing w:after="0"/>
            </w:pPr>
            <w:r>
              <w:rPr>
                <w:rFonts w:ascii="Arial" w:cs="Arial" w:eastAsia="Arial" w:hAnsi="Arial"/>
                <w:b/>
                <w:bCs/>
                <w:color w:val="1E40AF"/>
                <w:sz w:val="24"/>
                <w:szCs w:val="24"/>
              </w:rPr>
              <w:t xml:space="preserve">ui-ux-pro-max</w:t>
            </w:r>
            <w:r>
              <w:rPr>
                <w:rFonts w:ascii="Arial" w:cs="Arial" w:eastAsia="Arial" w:hAnsi="Arial"/>
                <w:color w:val="6B7280"/>
                <w:sz w:val="20"/>
                <w:szCs w:val="20"/>
              </w:rPr>
              <w:t xml:space="preserve">   ★ 21.9k</w:t>
            </w:r>
          </w:p>
          <w:p>
            <w:pPr>
              <w:spacing w:after="0"/>
            </w:pPr>
            <w:r>
              <w:rPr>
                <w:rFonts w:ascii="Arial" w:cs="Arial" w:eastAsia="Arial" w:hAnsi="Arial"/>
                <w:i/>
                <w:iCs/>
                <w:color w:val="6B7280"/>
                <w:sz w:val="18"/>
                <w:szCs w:val="18"/>
              </w:rPr>
              <w:t xml:space="preserve">by davila7/claude-code-templates</w:t>
            </w:r>
          </w:p>
        </w:tc>
      </w:tr>
      <w:tr>
        <w:tc>
          <w:tcPr>
            <w:tcW w:type="dxa" w:w="9360"/>
            <w:tcBorders>
              <w:top w:val="none"/>
              <w:left w:val="single" w:color="D1D5DB" w:sz="1"/>
              <w:bottom w:val="single" w:color="D1D5DB" w:sz="1"/>
              <w:right w:val="single" w:color="D1D5DB" w:sz="1"/>
            </w:tcBorders>
            <w:tcMar>
              <w:top w:type="dxa" w:w="60"/>
              <w:left w:type="dxa" w:w="160"/>
              <w:bottom w:type="dxa" w:w="100"/>
              <w:right w:type="dxa" w:w="160"/>
            </w:tcMar>
          </w:tcPr>
          <w:p>
            <w:pPr>
              <w:spacing w:after="0"/>
            </w:pPr>
            <w:r>
              <w:rPr>
                <w:rFonts w:ascii="Arial" w:cs="Arial" w:eastAsia="Arial" w:hAnsi="Arial"/>
                <w:color w:val="1F2937"/>
                <w:sz w:val="21"/>
                <w:szCs w:val="21"/>
              </w:rPr>
              <w:t xml:space="preserve">UI/UX design intelligence with 50 styles, 21 palettes, 50 font pairings across React, Next.js, and other stacks. Useful for establishing a consistent design system and polishing VettdRE’s overall UI as the platform matures.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3C5FD" w:sz="1"/>
              <w:left w:val="single" w:color="93C5FD" w:sz="1"/>
              <w:bottom w:val="none"/>
              <w:right w:val="single" w:color="93C5FD" w:sz="1"/>
            </w:tcBorders>
            <w:shd w:fill="DBEAFE" w:val="clear"/>
            <w:tcMar>
              <w:top w:type="dxa" w:w="80"/>
              <w:left w:type="dxa" w:w="160"/>
              <w:bottom w:type="dxa" w:w="40"/>
              <w:right w:type="dxa" w:w="160"/>
            </w:tcMar>
          </w:tcPr>
          <w:p>
            <w:pPr>
              <w:spacing w:after="0"/>
            </w:pPr>
            <w:r>
              <w:rPr>
                <w:rFonts w:ascii="Arial" w:cs="Arial" w:eastAsia="Arial" w:hAnsi="Arial"/>
                <w:b/>
                <w:bCs/>
                <w:color w:val="1E40AF"/>
                <w:sz w:val="24"/>
                <w:szCs w:val="24"/>
              </w:rPr>
              <w:t xml:space="preserve">data-privacy-compliance</w:t>
            </w:r>
            <w:r>
              <w:rPr>
                <w:rFonts w:ascii="Arial" w:cs="Arial" w:eastAsia="Arial" w:hAnsi="Arial"/>
                <w:color w:val="6B7280"/>
                <w:sz w:val="20"/>
                <w:szCs w:val="20"/>
              </w:rPr>
              <w:t xml:space="preserve">   ★ 21.9k</w:t>
            </w:r>
          </w:p>
          <w:p>
            <w:pPr>
              <w:spacing w:after="0"/>
            </w:pPr>
            <w:r>
              <w:rPr>
                <w:rFonts w:ascii="Arial" w:cs="Arial" w:eastAsia="Arial" w:hAnsi="Arial"/>
                <w:i/>
                <w:iCs/>
                <w:color w:val="6B7280"/>
                <w:sz w:val="18"/>
                <w:szCs w:val="18"/>
              </w:rPr>
              <w:t xml:space="preserve">by davila7/claude-code-templates</w:t>
            </w:r>
          </w:p>
        </w:tc>
      </w:tr>
      <w:tr>
        <w:tc>
          <w:tcPr>
            <w:tcW w:type="dxa" w:w="9360"/>
            <w:tcBorders>
              <w:top w:val="none"/>
              <w:left w:val="single" w:color="D1D5DB" w:sz="1"/>
              <w:bottom w:val="single" w:color="D1D5DB" w:sz="1"/>
              <w:right w:val="single" w:color="D1D5DB" w:sz="1"/>
            </w:tcBorders>
            <w:tcMar>
              <w:top w:type="dxa" w:w="60"/>
              <w:left w:type="dxa" w:w="160"/>
              <w:bottom w:type="dxa" w:w="100"/>
              <w:right w:type="dxa" w:w="160"/>
            </w:tcMar>
          </w:tcPr>
          <w:p>
            <w:pPr>
              <w:spacing w:after="0"/>
            </w:pPr>
            <w:r>
              <w:rPr>
                <w:rFonts w:ascii="Arial" w:cs="Arial" w:eastAsia="Arial" w:hAnsi="Arial"/>
                <w:color w:val="1F2937"/>
                <w:sz w:val="21"/>
                <w:szCs w:val="21"/>
              </w:rPr>
              <w:t xml:space="preserve">Data privacy and regulatory compliance specialist for GDPR, CCPA, HIPAA, and international data protection laws. As VettdRE scales and handles increasing PII (owner data, skip tracing results, contact enrichment profiles), a compliance framework becomes essential.</w:t>
            </w:r>
          </w:p>
        </w:tc>
      </w:tr>
    </w:tbl>
    <w:p>
      <w:pPr>
        <w:spacing w:after="200"/>
      </w:pPr>
    </w:p>
    <w:p>
      <w:pPr>
        <w:pStyle w:val="Heading1"/>
      </w:pPr>
      <w:r>
        <w:rPr>
          <w:rFonts w:ascii="Arial" w:cs="Arial" w:eastAsia="Arial" w:hAnsi="Arial"/>
          <w:b/>
          <w:bCs/>
        </w:rPr>
        <w:t xml:space="preserve">Recommended Quick-Start</w:t>
      </w:r>
    </w:p>
    <w:p>
      <w:pPr>
        <w:spacing w:after="120"/>
      </w:pPr>
      <w:r>
        <w:rPr>
          <w:rFonts w:ascii="Arial" w:cs="Arial" w:eastAsia="Arial" w:hAnsi="Arial"/>
          <w:color w:val="1F2937"/>
          <w:sz w:val="22"/>
          <w:szCs w:val="22"/>
        </w:rPr>
        <w:t xml:space="preserve">For immediate impact, start with these three skills that address the biggest gaps:
</w:t>
      </w:r>
    </w:p>
    <w:p>
      <w:pPr>
        <w:pStyle w:val="ListParagraph"/>
        <w:numPr>
          <w:ilvl w:val="0"/>
          <w:numId w:val="2"/>
        </w:numPr>
        <w:spacing w:after="80"/>
      </w:pPr>
      <w:r>
        <w:rPr>
          <w:rFonts w:ascii="Arial" w:cs="Arial" w:eastAsia="Arial" w:hAnsi="Arial"/>
          <w:b/>
          <w:bCs/>
          <w:color w:val="1E40AF"/>
          <w:sz w:val="22"/>
          <w:szCs w:val="22"/>
        </w:rPr>
        <w:t xml:space="preserve">nextjs-pwa</w:t>
      </w:r>
      <w:r>
        <w:rPr>
          <w:rFonts w:ascii="Arial" w:cs="Arial" w:eastAsia="Arial" w:hAnsi="Arial"/>
          <w:color w:val="1F2937"/>
          <w:sz w:val="22"/>
          <w:szCs w:val="22"/>
        </w:rPr>
        <w:t xml:space="preserve"> — Completes the PWA story (offline access, service worker, install prompt)</w:t>
      </w:r>
    </w:p>
    <w:p>
      <w:pPr>
        <w:pStyle w:val="ListParagraph"/>
        <w:numPr>
          <w:ilvl w:val="0"/>
          <w:numId w:val="2"/>
        </w:numPr>
        <w:spacing w:after="80"/>
      </w:pPr>
      <w:r>
        <w:rPr>
          <w:rFonts w:ascii="Arial" w:cs="Arial" w:eastAsia="Arial" w:hAnsi="Arial"/>
          <w:b/>
          <w:bCs/>
          <w:color w:val="1E40AF"/>
          <w:sz w:val="22"/>
          <w:szCs w:val="22"/>
        </w:rPr>
        <w:t xml:space="preserve">analytics-metrics</w:t>
      </w:r>
      <w:r>
        <w:rPr>
          <w:rFonts w:ascii="Arial" w:cs="Arial" w:eastAsia="Arial" w:hAnsi="Arial"/>
          <w:color w:val="1F2937"/>
          <w:sz w:val="22"/>
          <w:szCs w:val="22"/>
        </w:rPr>
        <w:t xml:space="preserve"> — Unblocks the /analytics and /insights pages with dashboard patterns</w:t>
      </w:r>
    </w:p>
    <w:p>
      <w:pPr>
        <w:pStyle w:val="ListParagraph"/>
        <w:numPr>
          <w:ilvl w:val="0"/>
          <w:numId w:val="2"/>
        </w:numPr>
        <w:spacing w:after="80"/>
      </w:pPr>
      <w:r>
        <w:rPr>
          <w:rFonts w:ascii="Arial" w:cs="Arial" w:eastAsia="Arial" w:hAnsi="Arial"/>
          <w:b/>
          <w:bCs/>
          <w:color w:val="1E40AF"/>
          <w:sz w:val="22"/>
          <w:szCs w:val="22"/>
        </w:rPr>
        <w:t xml:space="preserve">tailwind-patterns</w:t>
      </w:r>
      <w:r>
        <w:rPr>
          <w:rFonts w:ascii="Arial" w:cs="Arial" w:eastAsia="Arial" w:hAnsi="Arial"/>
          <w:color w:val="1F2937"/>
          <w:sz w:val="22"/>
          <w:szCs w:val="22"/>
        </w:rPr>
        <w:t xml:space="preserve"> — Accelerates the mobile responsive work across all pages</w:t>
      </w:r>
    </w:p>
    <w:p>
      <w:pPr>
        <w:spacing w:after="200"/>
      </w:pPr>
    </w:p>
    <w:p>
      <w:pPr>
        <w:pStyle w:val="Heading2"/>
      </w:pPr>
      <w:r>
        <w:rPr>
          <w:rFonts w:ascii="Arial" w:cs="Arial" w:eastAsia="Arial" w:hAnsi="Arial"/>
          <w:b/>
          <w:bCs/>
        </w:rPr>
        <w:t xml:space="preserve">Notes</w:t>
      </w:r>
    </w:p>
    <w:p>
      <w:pPr>
        <w:pStyle w:val="ListParagraph"/>
        <w:numPr>
          <w:ilvl w:val="0"/>
          <w:numId w:val="3"/>
        </w:numPr>
        <w:spacing w:after="80"/>
      </w:pPr>
      <w:r>
        <w:rPr>
          <w:rFonts w:ascii="Arial" w:cs="Arial" w:eastAsia="Arial" w:hAnsi="Arial"/>
          <w:i/>
          <w:iCs/>
          <w:color w:val="1F2937"/>
          <w:sz w:val="22"/>
          <w:szCs w:val="22"/>
        </w:rPr>
        <w:t xml:space="preserve">All skills are sourced from </w:t>
      </w:r>
      <w:r>
        <w:rPr>
          <w:rFonts w:ascii="Arial" w:cs="Arial" w:eastAsia="Arial" w:hAnsi="Arial"/>
          <w:i/>
          <w:iCs/>
          <w:color w:val="1E40AF"/>
          <w:sz w:val="22"/>
          <w:szCs w:val="22"/>
        </w:rPr>
        <w:t xml:space="preserve">skillsmp.com</w:t>
      </w:r>
      <w:r>
        <w:rPr>
          <w:rFonts w:ascii="Arial" w:cs="Arial" w:eastAsia="Arial" w:hAnsi="Arial"/>
          <w:i/>
          <w:iCs/>
          <w:color w:val="1F2937"/>
          <w:sz w:val="22"/>
          <w:szCs w:val="22"/>
        </w:rPr>
        <w:t xml:space="preserve">, a community marketplace for Claude Code agent skills.</w:t>
      </w:r>
    </w:p>
    <w:p>
      <w:pPr>
        <w:pStyle w:val="ListParagraph"/>
        <w:numPr>
          <w:ilvl w:val="0"/>
          <w:numId w:val="3"/>
        </w:numPr>
        <w:spacing w:after="80"/>
      </w:pPr>
      <w:r>
        <w:rPr>
          <w:rFonts w:ascii="Arial" w:cs="Arial" w:eastAsia="Arial" w:hAnsi="Arial"/>
          <w:i/>
          <w:iCs/>
          <w:color w:val="1F2937"/>
          <w:sz w:val="22"/>
          <w:szCs w:val="22"/>
        </w:rPr>
        <w:t xml:space="preserve">Star counts reflect community adoption as of March 2026.</w:t>
      </w:r>
    </w:p>
    <w:p>
      <w:pPr>
        <w:pStyle w:val="ListParagraph"/>
        <w:numPr>
          <w:ilvl w:val="0"/>
          <w:numId w:val="3"/>
        </w:numPr>
        <w:spacing w:after="80"/>
      </w:pPr>
      <w:r>
        <w:rPr>
          <w:rFonts w:ascii="Arial" w:cs="Arial" w:eastAsia="Arial" w:hAnsi="Arial"/>
          <w:i/>
          <w:iCs/>
          <w:color w:val="1F2937"/>
          <w:sz w:val="22"/>
          <w:szCs w:val="22"/>
        </w:rPr>
        <w:t xml:space="preserve">No skills were found specifically for NYC Open Data API integration, People Data Labs, Apollo.io, or Tracerfy — these remain proprietary integration points where custom skills could be authored.</w:t>
      </w:r>
    </w:p>
    <w:p>
      <w:pPr>
        <w:pStyle w:val="ListParagraph"/>
        <w:numPr>
          <w:ilvl w:val="0"/>
          <w:numId w:val="3"/>
        </w:numPr>
        <w:spacing w:after="80"/>
      </w:pPr>
      <w:r>
        <w:rPr>
          <w:rFonts w:ascii="Arial" w:cs="Arial" w:eastAsia="Arial" w:hAnsi="Arial"/>
          <w:i/>
          <w:iCs/>
          <w:color w:val="1F2937"/>
          <w:sz w:val="22"/>
          <w:szCs w:val="22"/>
        </w:rPr>
        <w:t xml:space="preserve">Skills with 0 stars may still be highly relevant; low adoption often means they target a niche use case (e.g., crm-lead-scorer).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1" w:space="4"/>
      </w:pBdr>
      <w:jc w:val="center"/>
    </w:pP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r>
      <w:rPr>
        <w:rFonts w:ascii="Arial" w:cs="Arial" w:eastAsia="Arial" w:hAnsi="Arial"/>
        <w:color w:val="6B7280"/>
        <w:sz w:val="16"/>
        <w:szCs w:val="16"/>
      </w:rPr>
      <w:t xml:space="preserve">  |  Prepared March 4,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Arial" w:cs="Arial" w:eastAsia="Arial" w:hAnsi="Arial"/>
        <w:b/>
        <w:bCs/>
        <w:color w:val="1E40AF"/>
        <w:sz w:val="18"/>
        <w:szCs w:val="18"/>
      </w:rPr>
      <w:t xml:space="preserve">VettdRE </w:t>
    </w:r>
    <w:r>
      <w:rPr>
        <w:rFonts w:ascii="Arial" w:cs="Arial" w:eastAsia="Arial" w:hAnsi="Arial"/>
        <w:color w:val="6B7280"/>
        <w:sz w:val="18"/>
        <w:szCs w:val="18"/>
      </w:rPr>
      <w:t xml:space="preserve">| SkillsMP Research Summary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40AF"/>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F2937"/>
      <w:sz w:val="30"/>
      <w:szCs w:val="30"/>
    </w:rPr>
  </w:style>
  <w:style w:type="paragraph" w:styleId="Heading3">
    <w:name w:val="Heading 3"/>
    <w:basedOn w:val="Normal"/>
    <w:next w:val="Normal"/>
    <w:qFormat/>
    <w:pPr>
      <w:spacing w:after="120" w:before="200"/>
      <w:outlineLvl w:val="2"/>
    </w:pPr>
    <w:rPr>
      <w:rFonts w:ascii="Arial" w:cs="Arial" w:eastAsia="Arial" w:hAnsi="Arial"/>
      <w:b/>
      <w:bCs/>
      <w:color w:val="1F293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2026-03-04T23:44:31.654Z</dcterms:created>
  <dcterms:modified xsi:type="dcterms:W3CDTF">2026-03-04T23:44:31.655Z</dcterms:modified>
</cp:coreProperties>
</file>

<file path=docProps/custom.xml><?xml version="1.0" encoding="utf-8"?>
<Properties xmlns="http://schemas.openxmlformats.org/officeDocument/2006/custom-properties" xmlns:vt="http://schemas.openxmlformats.org/officeDocument/2006/docPropsVTypes"/>
</file>