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44"/>
          <w:szCs w:val="44"/>
        </w:rPr>
        <w:t xml:space="preserve">SOFTWARE ARCHITECTURE DOCUMENT</w:t>
      </w:r>
    </w:p>
    <w:p>
      <w:pPr>
        <w:spacing w:after="120"/>
        <w:jc w:val="center"/>
      </w:pPr>
      <w:r>
        <w:rPr>
          <w:rFonts w:ascii="Calibri" w:cs="Calibri" w:eastAsia="Calibri" w:hAnsi="Calibri"/>
          <w:color w:val="2E5395"/>
          <w:sz w:val="32"/>
          <w:szCs w:val="32"/>
        </w:rPr>
        <w:t xml:space="preserve">Philippine Labor Law Chatbot</w:t>
      </w:r>
    </w:p>
    <w:p>
      <w:pPr>
        <w:spacing w:after="1200"/>
        <w:jc w:val="center"/>
      </w:pPr>
      <w:r>
        <w:rPr>
          <w:rFonts w:ascii="Calibri" w:cs="Calibri" w:eastAsia="Calibri" w:hAnsi="Calibri"/>
          <w:i/>
          <w:iCs/>
          <w:color w:val="595959"/>
          <w:sz w:val="22"/>
          <w:szCs w:val="22"/>
        </w:rPr>
        <w:t xml:space="preserve">An AI-Powered Retrieval-Augmented Generation System for Legal Information Assistance</w:t>
      </w:r>
    </w:p>
    <w:p>
      <w:pPr>
        <w:spacing w:after="80"/>
        <w:jc w:val="center"/>
      </w:pPr>
      <w:r>
        <w:rPr>
          <w:rFonts w:ascii="Calibri" w:cs="Calibri" w:eastAsia="Calibri" w:hAnsi="Calibri"/>
          <w:sz w:val="20"/>
          <w:szCs w:val="20"/>
        </w:rPr>
        <w:t xml:space="preserve">Document Version 1.0</w:t>
      </w:r>
    </w:p>
    <w:p>
      <w:pPr>
        <w:spacing w:after="80"/>
        <w:jc w:val="center"/>
      </w:pPr>
      <w:r>
        <w:rPr>
          <w:rFonts w:ascii="Calibri" w:cs="Calibri" w:eastAsia="Calibri" w:hAnsi="Calibri"/>
          <w:sz w:val="20"/>
          <w:szCs w:val="20"/>
        </w:rPr>
        <w:t xml:space="preserve">July 2026</w:t>
      </w:r>
    </w:p>
    <w:p>
      <w:pPr>
        <w:spacing w:after="80"/>
        <w:jc w:val="center"/>
      </w:pPr>
      <w:r>
        <w:rPr>
          <w:rFonts w:ascii="Calibri" w:cs="Calibri" w:eastAsia="Calibri" w:hAnsi="Calibri"/>
          <w:sz w:val="20"/>
          <w:szCs w:val="20"/>
        </w:rPr>
        <w:t xml:space="preserve">Prepared for: Law Firm Technology Stakeholders</w:t>
      </w:r>
    </w:p>
    <w:p>
      <w:pPr>
        <w:jc w:val="center"/>
      </w:pPr>
      <w:r>
        <w:rPr>
          <w:rFonts w:ascii="Calibri" w:cs="Calibri" w:eastAsia="Calibri" w:hAnsi="Calibri"/>
          <w:color w:val="595959"/>
          <w:sz w:val="18"/>
          <w:szCs w:val="18"/>
        </w:rPr>
        <w:t xml:space="preserve">Classification: Internal — Technical Design Document</w:t>
      </w:r>
    </w:p>
    <w:p>
      <w:r>
        <w:br w:type="page"/>
      </w:r>
    </w:p>
    <w:p>
      <w:pPr>
        <w:pStyle w:val="Heading1"/>
        <w:spacing w:after="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1. Executive Summary</w:t>
      </w:r>
    </w:p>
    <w:p>
      <w:pPr>
        <w:spacing w:after="200" w:line="276"/>
      </w:pPr>
      <w:r>
        <w:rPr>
          <w:rFonts w:ascii="Calibri" w:cs="Calibri" w:eastAsia="Calibri" w:hAnsi="Calibri"/>
          <w:sz w:val="22"/>
          <w:szCs w:val="22"/>
        </w:rPr>
        <w:t xml:space="preserve">This document presents the software architecture for the Philippine Labor Law Chatbot, an AI-powered Retrieval-Augmented Generation (RAG) system designed to assist law firm clients, staff, and consultants with questions about Philippine labor legislation. The system is built to answer exclusively from a curated, verified corpus of official government legal documents — it does not draw on general knowledge, and it is explicitly designed to decline to answer rather than generate an unsupported response.</w:t>
      </w:r>
    </w:p>
    <w:p>
      <w:pPr>
        <w:spacing w:after="200" w:line="276"/>
      </w:pPr>
      <w:r>
        <w:rPr>
          <w:rFonts w:ascii="Calibri" w:cs="Calibri" w:eastAsia="Calibri" w:hAnsi="Calibri"/>
          <w:sz w:val="22"/>
          <w:szCs w:val="22"/>
        </w:rPr>
        <w:t xml:space="preserve">The architecture separates concerns cleanly across four layers: a Next.js/TypeScript frontend for client interaction, a stateless FastAPI backend orchestrating retrieval and generation, a ChromaDB vector store holding the indexed legal corpus, and the Claude API (Anthropic) as the generation engine. This separation allows each layer to be developed, tested, scaled, and replaced independently.</w:t>
      </w:r>
    </w:p>
    <w:p>
      <w:pPr>
        <w:spacing w:after="200" w:line="276"/>
      </w:pPr>
      <w:r>
        <w:rPr>
          <w:rFonts w:ascii="Calibri" w:cs="Calibri" w:eastAsia="Calibri" w:hAnsi="Calibri"/>
          <w:sz w:val="22"/>
          <w:szCs w:val="22"/>
        </w:rPr>
        <w:t xml:space="preserve">This document covers requirements, system and pipeline architecture, technology choices, security and scalability design, performance characteristics, cost projections across firm sizes, and a prioritized roadmap of future enhancements. It is intended to serve as the authoritative technical reference for current implementation and future development.</w:t>
      </w:r>
    </w:p>
    <w:p>
      <w:pPr>
        <w:pStyle w:val="Heading1"/>
        <w:pageBreakBefore/>
        <w:spacing w:after="240" w:before="480"/>
      </w:pPr>
      <w:r>
        <w:t xml:space="preserve">2. Project Overview</w:t>
      </w:r>
    </w:p>
    <w:p>
      <w:pPr>
        <w:spacing w:after="200" w:line="276"/>
      </w:pPr>
      <w:r>
        <w:rPr>
          <w:rFonts w:ascii="Calibri" w:cs="Calibri" w:eastAsia="Calibri" w:hAnsi="Calibri"/>
          <w:sz w:val="22"/>
          <w:szCs w:val="22"/>
        </w:rPr>
        <w:t xml:space="preserve">The Philippine Labor Law Chatbot is a domain-restricted legal information assistant. Its purpose is to reduce the volume of routine labor-law inquiries directed at firm staff by giving clients and internal users an accurate, source-cited, always-available first point of reference — while making unambiguous that it is an information tool, not a substitute for legal advice from a licensed attorney.</w:t>
      </w:r>
    </w:p>
    <w:p>
      <w:pPr>
        <w:pStyle w:val="Heading2"/>
        <w:spacing w:after="160" w:before="320"/>
      </w:pPr>
      <w:r>
        <w:t xml:space="preserve">2.1 Scope</w:t>
      </w:r>
    </w:p>
    <w:p>
      <w:pPr>
        <w:spacing w:after="200" w:line="276"/>
      </w:pPr>
      <w:r>
        <w:rPr>
          <w:rFonts w:ascii="Calibri" w:cs="Calibri" w:eastAsia="Calibri" w:hAnsi="Calibri"/>
          <w:sz w:val="22"/>
          <w:szCs w:val="22"/>
        </w:rPr>
        <w:t xml:space="preserve">The system answers questions strictly within the boundary of its indexed document corpus: the Labor Code of the Philippines and its implementing rules, relevant Republic Acts (e.g., wage regulation, maternity and paternity leave, contracting and subcontracting, social security, anti-discrimination), and select Department of Labor and Employment (DOLE) issuances. Case law and jurisdiction-specific interpretation are explicitly out of scope for the current version.</w:t>
      </w:r>
    </w:p>
    <w:p>
      <w:pPr>
        <w:pStyle w:val="Heading2"/>
        <w:spacing w:after="160" w:before="320"/>
      </w:pPr>
      <w:r>
        <w:t xml:space="preserve">2.2 Target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User Group</w:t>
            </w:r>
          </w:p>
        </w:tc>
        <w:tc>
          <w:tcPr>
            <w:tcW w:type="dxa" w:w="30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Type</w:t>
            </w:r>
          </w:p>
        </w:tc>
        <w:tc>
          <w:tcPr>
            <w:tcW w:type="dxa" w:w="30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Primary Need</w:t>
            </w:r>
          </w:p>
        </w:tc>
      </w:tr>
      <w:tr>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Law firm clients</w:t>
            </w:r>
          </w:p>
        </w:tc>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Primary</w:t>
            </w:r>
          </w:p>
        </w:tc>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Self-service answers to common labor-law questions, with clear sourcing</w:t>
            </w:r>
          </w:p>
        </w:tc>
      </w:tr>
      <w:tr>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Law firm staff / paralegals</w:t>
            </w:r>
          </w:p>
        </w:tc>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Secondary</w:t>
            </w:r>
          </w:p>
        </w:tc>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Fast lookup of specific statutory provisions during casework</w:t>
            </w:r>
          </w:p>
        </w:tc>
      </w:tr>
      <w:tr>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HR consultants</w:t>
            </w:r>
          </w:p>
        </w:tc>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Secondary</w:t>
            </w:r>
          </w:p>
        </w:tc>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Quick reference for compliance-related labor questions</w:t>
            </w:r>
          </w:p>
        </w:tc>
      </w:tr>
      <w:tr>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Legal assistants</w:t>
            </w:r>
          </w:p>
        </w:tc>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Secondary</w:t>
            </w:r>
          </w:p>
        </w:tc>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Drafting support and citation verification</w:t>
            </w:r>
          </w:p>
        </w:tc>
      </w:tr>
    </w:tbl>
    <w:p>
      <w:pPr>
        <w:pStyle w:val="Heading1"/>
        <w:pageBreakBefore/>
        <w:spacing w:after="240" w:before="480"/>
      </w:pPr>
      <w:r>
        <w:t xml:space="preserve">3. Problem Statement</w:t>
      </w:r>
    </w:p>
    <w:p>
      <w:pPr>
        <w:spacing w:after="200" w:line="276"/>
      </w:pPr>
      <w:r>
        <w:rPr>
          <w:rFonts w:ascii="Calibri" w:cs="Calibri" w:eastAsia="Calibri" w:hAnsi="Calibri"/>
          <w:sz w:val="22"/>
          <w:szCs w:val="22"/>
        </w:rPr>
        <w:t xml:space="preserve">Clients and staff routinely need answers to well-defined, frequently repeated labor-law questions (e.g., statutory leave entitlements, minimum wage computation, termination procedure). Answering these manually consumes billable staff time on questions that are, in the majority of cases, directly answerable from statutory text. General-purpose AI chatbots are unsuitable for this role because they are prone to hallucination, cannot reliably cite a verifiable source, and may blend outdated, foreign, or informally-sourced information with authoritative Philippine statute — an unacceptable risk in a legal context.</w:t>
      </w:r>
    </w:p>
    <w:p>
      <w:pPr>
        <w:spacing w:after="200" w:line="276"/>
      </w:pPr>
      <w:r>
        <w:rPr>
          <w:rFonts w:ascii="Calibri" w:cs="Calibri" w:eastAsia="Calibri" w:hAnsi="Calibri"/>
          <w:sz w:val="22"/>
          <w:szCs w:val="22"/>
        </w:rPr>
        <w:t xml:space="preserve">The core engineering problem is therefore: build a system that answers only from verified official text, cites its source precisely (document and page), and fails safely — declining to answer rather than guessing — when the indexed corpus does not contain a relevant answer.</w:t>
      </w:r>
    </w:p>
    <w:p>
      <w:pPr>
        <w:pStyle w:val="Heading1"/>
        <w:pageBreakBefore/>
        <w:spacing w:after="240" w:before="480"/>
      </w:pPr>
      <w:r>
        <w:t xml:space="preserve">4. Objectives</w:t>
      </w:r>
    </w:p>
    <w:p>
      <w:pPr>
        <w:pStyle w:val="ListParagraph"/>
        <w:numPr>
          <w:ilvl w:val="0"/>
          <w:numId w:val="2"/>
        </w:numPr>
        <w:spacing w:after="100"/>
      </w:pPr>
      <w:r>
        <w:rPr>
          <w:rFonts w:ascii="Calibri" w:cs="Calibri" w:eastAsia="Calibri" w:hAnsi="Calibri"/>
          <w:sz w:val="22"/>
          <w:szCs w:val="22"/>
        </w:rPr>
        <w:t xml:space="preserve">Provide accurate, citation-backed answers strictly grounded in indexed Philippine labor law documents.</w:t>
      </w:r>
    </w:p>
    <w:p>
      <w:pPr>
        <w:pStyle w:val="ListParagraph"/>
        <w:numPr>
          <w:ilvl w:val="0"/>
          <w:numId w:val="2"/>
        </w:numPr>
        <w:spacing w:after="100"/>
      </w:pPr>
      <w:r>
        <w:rPr>
          <w:rFonts w:ascii="Calibri" w:cs="Calibri" w:eastAsia="Calibri" w:hAnsi="Calibri"/>
          <w:sz w:val="22"/>
          <w:szCs w:val="22"/>
        </w:rPr>
        <w:t xml:space="preserve">Eliminate hallucination risk through retrieval-gated generation — the model is only invoked when relevant context has been found.</w:t>
      </w:r>
    </w:p>
    <w:p>
      <w:pPr>
        <w:pStyle w:val="ListParagraph"/>
        <w:numPr>
          <w:ilvl w:val="0"/>
          <w:numId w:val="2"/>
        </w:numPr>
        <w:spacing w:after="100"/>
      </w:pPr>
      <w:r>
        <w:rPr>
          <w:rFonts w:ascii="Calibri" w:cs="Calibri" w:eastAsia="Calibri" w:hAnsi="Calibri"/>
          <w:sz w:val="22"/>
          <w:szCs w:val="22"/>
        </w:rPr>
        <w:t xml:space="preserve">Deliver sub-10-second typical response latency for a satisfactory client-facing experience.</w:t>
      </w:r>
    </w:p>
    <w:p>
      <w:pPr>
        <w:pStyle w:val="ListParagraph"/>
        <w:numPr>
          <w:ilvl w:val="0"/>
          <w:numId w:val="2"/>
        </w:numPr>
        <w:spacing w:after="100"/>
      </w:pPr>
      <w:r>
        <w:rPr>
          <w:rFonts w:ascii="Calibri" w:cs="Calibri" w:eastAsia="Calibri" w:hAnsi="Calibri"/>
          <w:sz w:val="22"/>
          <w:szCs w:val="22"/>
        </w:rPr>
        <w:t xml:space="preserve">Support natural multi-turn conversation, including follow-up questions that depend on prior context.</w:t>
      </w:r>
    </w:p>
    <w:p>
      <w:pPr>
        <w:pStyle w:val="ListParagraph"/>
        <w:numPr>
          <w:ilvl w:val="0"/>
          <w:numId w:val="2"/>
        </w:numPr>
        <w:spacing w:after="100"/>
      </w:pPr>
      <w:r>
        <w:rPr>
          <w:rFonts w:ascii="Calibri" w:cs="Calibri" w:eastAsia="Calibri" w:hAnsi="Calibri"/>
          <w:sz w:val="22"/>
          <w:szCs w:val="22"/>
        </w:rPr>
        <w:t xml:space="preserve">Maintain a maintainable, independently deployable architecture that allows the document corpus, retrieval logic, and generation model to evolve separately.</w:t>
      </w:r>
    </w:p>
    <w:p>
      <w:pPr>
        <w:pStyle w:val="ListParagraph"/>
        <w:numPr>
          <w:ilvl w:val="0"/>
          <w:numId w:val="2"/>
        </w:numPr>
        <w:spacing w:after="100"/>
      </w:pPr>
      <w:r>
        <w:rPr>
          <w:rFonts w:ascii="Calibri" w:cs="Calibri" w:eastAsia="Calibri" w:hAnsi="Calibri"/>
          <w:sz w:val="22"/>
          <w:szCs w:val="22"/>
        </w:rPr>
        <w:t xml:space="preserve">Operate within a predictable, transparent monthly operating cost suitable for firms of varying size.</w:t>
      </w:r>
    </w:p>
    <w:p>
      <w:pPr>
        <w:pStyle w:val="Heading1"/>
        <w:pageBreakBefore/>
        <w:spacing w:after="240" w:before="480"/>
      </w:pPr>
      <w:r>
        <w:t xml:space="preserve">5.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ID</w:t>
            </w:r>
          </w:p>
        </w:tc>
        <w:tc>
          <w:tcPr>
            <w:tcW w:type="dxa" w:w="69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Requirement</w:t>
            </w:r>
          </w:p>
        </w:tc>
        <w:tc>
          <w:tcPr>
            <w:tcW w:type="dxa" w:w="13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Priority</w:t>
            </w:r>
          </w:p>
        </w:tc>
      </w:tr>
      <w:tr>
        <w:tc>
          <w:tcPr>
            <w:tcW w:type="dxa" w:w="800"/>
            <w:shd w:fill="FFFFFF" w:val="clear"/>
            <w:tcMar>
              <w:top w:type="dxa" w:w="100"/>
              <w:left w:type="dxa" w:w="150"/>
              <w:bottom w:type="dxa" w:w="100"/>
              <w:right w:type="dxa" w:w="150"/>
            </w:tcMar>
            <w:vAlign w:val="center"/>
          </w:tcPr>
          <w:p>
            <w:r>
              <w:rPr>
                <w:rFonts w:ascii="Calibri" w:cs="Calibri" w:eastAsia="Calibri" w:hAnsi="Calibri"/>
                <w:sz w:val="20"/>
                <w:szCs w:val="20"/>
              </w:rPr>
              <w:t xml:space="preserve">FR-1</w:t>
            </w:r>
          </w:p>
        </w:tc>
        <w:tc>
          <w:tcPr>
            <w:tcW w:type="dxa" w:w="6900"/>
            <w:shd w:fill="FFFFFF" w:val="clear"/>
            <w:tcMar>
              <w:top w:type="dxa" w:w="100"/>
              <w:left w:type="dxa" w:w="150"/>
              <w:bottom w:type="dxa" w:w="100"/>
              <w:right w:type="dxa" w:w="150"/>
            </w:tcMar>
            <w:vAlign w:val="center"/>
          </w:tcPr>
          <w:p>
            <w:r>
              <w:rPr>
                <w:rFonts w:ascii="Calibri" w:cs="Calibri" w:eastAsia="Calibri" w:hAnsi="Calibri"/>
                <w:sz w:val="20"/>
                <w:szCs w:val="20"/>
              </w:rPr>
              <w:t xml:space="preserve">System shall accept natural-language questions about Philippine labor law via a web chat interface</w:t>
            </w:r>
          </w:p>
        </w:tc>
        <w:tc>
          <w:tcPr>
            <w:tcW w:type="dxa" w:w="1300"/>
            <w:shd w:fill="FFFFFF" w:val="clear"/>
            <w:tcMar>
              <w:top w:type="dxa" w:w="100"/>
              <w:left w:type="dxa" w:w="150"/>
              <w:bottom w:type="dxa" w:w="100"/>
              <w:right w:type="dxa" w:w="150"/>
            </w:tcMar>
            <w:vAlign w:val="center"/>
          </w:tcPr>
          <w:p>
            <w:r>
              <w:rPr>
                <w:rFonts w:ascii="Calibri" w:cs="Calibri" w:eastAsia="Calibri" w:hAnsi="Calibri"/>
                <w:sz w:val="20"/>
                <w:szCs w:val="20"/>
              </w:rPr>
              <w:t xml:space="preserve">Must</w:t>
            </w:r>
          </w:p>
        </w:tc>
      </w:tr>
      <w:tr>
        <w:tc>
          <w:tcPr>
            <w:tcW w:type="dxa" w:w="800"/>
            <w:shd w:fill="F2F2F2" w:val="clear"/>
            <w:tcMar>
              <w:top w:type="dxa" w:w="100"/>
              <w:left w:type="dxa" w:w="150"/>
              <w:bottom w:type="dxa" w:w="100"/>
              <w:right w:type="dxa" w:w="150"/>
            </w:tcMar>
            <w:vAlign w:val="center"/>
          </w:tcPr>
          <w:p>
            <w:r>
              <w:rPr>
                <w:rFonts w:ascii="Calibri" w:cs="Calibri" w:eastAsia="Calibri" w:hAnsi="Calibri"/>
                <w:sz w:val="20"/>
                <w:szCs w:val="20"/>
              </w:rPr>
              <w:t xml:space="preserve">FR-2</w:t>
            </w:r>
          </w:p>
        </w:tc>
        <w:tc>
          <w:tcPr>
            <w:tcW w:type="dxa" w:w="6900"/>
            <w:shd w:fill="F2F2F2" w:val="clear"/>
            <w:tcMar>
              <w:top w:type="dxa" w:w="100"/>
              <w:left w:type="dxa" w:w="150"/>
              <w:bottom w:type="dxa" w:w="100"/>
              <w:right w:type="dxa" w:w="150"/>
            </w:tcMar>
            <w:vAlign w:val="center"/>
          </w:tcPr>
          <w:p>
            <w:r>
              <w:rPr>
                <w:rFonts w:ascii="Calibri" w:cs="Calibri" w:eastAsia="Calibri" w:hAnsi="Calibri"/>
                <w:sz w:val="20"/>
                <w:szCs w:val="20"/>
              </w:rPr>
              <w:t xml:space="preserve">System shall retrieve semantically relevant passages from the indexed legal corpus before generating a response</w:t>
            </w:r>
          </w:p>
        </w:tc>
        <w:tc>
          <w:tcPr>
            <w:tcW w:type="dxa" w:w="1300"/>
            <w:shd w:fill="F2F2F2" w:val="clear"/>
            <w:tcMar>
              <w:top w:type="dxa" w:w="100"/>
              <w:left w:type="dxa" w:w="150"/>
              <w:bottom w:type="dxa" w:w="100"/>
              <w:right w:type="dxa" w:w="150"/>
            </w:tcMar>
            <w:vAlign w:val="center"/>
          </w:tcPr>
          <w:p>
            <w:r>
              <w:rPr>
                <w:rFonts w:ascii="Calibri" w:cs="Calibri" w:eastAsia="Calibri" w:hAnsi="Calibri"/>
                <w:sz w:val="20"/>
                <w:szCs w:val="20"/>
              </w:rPr>
              <w:t xml:space="preserve">Must</w:t>
            </w:r>
          </w:p>
        </w:tc>
      </w:tr>
      <w:tr>
        <w:tc>
          <w:tcPr>
            <w:tcW w:type="dxa" w:w="800"/>
            <w:shd w:fill="FFFFFF" w:val="clear"/>
            <w:tcMar>
              <w:top w:type="dxa" w:w="100"/>
              <w:left w:type="dxa" w:w="150"/>
              <w:bottom w:type="dxa" w:w="100"/>
              <w:right w:type="dxa" w:w="150"/>
            </w:tcMar>
            <w:vAlign w:val="center"/>
          </w:tcPr>
          <w:p>
            <w:r>
              <w:rPr>
                <w:rFonts w:ascii="Calibri" w:cs="Calibri" w:eastAsia="Calibri" w:hAnsi="Calibri"/>
                <w:sz w:val="20"/>
                <w:szCs w:val="20"/>
              </w:rPr>
              <w:t xml:space="preserve">FR-3</w:t>
            </w:r>
          </w:p>
        </w:tc>
        <w:tc>
          <w:tcPr>
            <w:tcW w:type="dxa" w:w="6900"/>
            <w:shd w:fill="FFFFFF" w:val="clear"/>
            <w:tcMar>
              <w:top w:type="dxa" w:w="100"/>
              <w:left w:type="dxa" w:w="150"/>
              <w:bottom w:type="dxa" w:w="100"/>
              <w:right w:type="dxa" w:w="150"/>
            </w:tcMar>
            <w:vAlign w:val="center"/>
          </w:tcPr>
          <w:p>
            <w:r>
              <w:rPr>
                <w:rFonts w:ascii="Calibri" w:cs="Calibri" w:eastAsia="Calibri" w:hAnsi="Calibri"/>
                <w:sz w:val="20"/>
                <w:szCs w:val="20"/>
              </w:rPr>
              <w:t xml:space="preserve">System shall cite the source document title and page number for every substantive claim in its answer</w:t>
            </w:r>
          </w:p>
        </w:tc>
        <w:tc>
          <w:tcPr>
            <w:tcW w:type="dxa" w:w="1300"/>
            <w:shd w:fill="FFFFFF" w:val="clear"/>
            <w:tcMar>
              <w:top w:type="dxa" w:w="100"/>
              <w:left w:type="dxa" w:w="150"/>
              <w:bottom w:type="dxa" w:w="100"/>
              <w:right w:type="dxa" w:w="150"/>
            </w:tcMar>
            <w:vAlign w:val="center"/>
          </w:tcPr>
          <w:p>
            <w:r>
              <w:rPr>
                <w:rFonts w:ascii="Calibri" w:cs="Calibri" w:eastAsia="Calibri" w:hAnsi="Calibri"/>
                <w:sz w:val="20"/>
                <w:szCs w:val="20"/>
              </w:rPr>
              <w:t xml:space="preserve">Must</w:t>
            </w:r>
          </w:p>
        </w:tc>
      </w:tr>
      <w:tr>
        <w:tc>
          <w:tcPr>
            <w:tcW w:type="dxa" w:w="800"/>
            <w:shd w:fill="F2F2F2" w:val="clear"/>
            <w:tcMar>
              <w:top w:type="dxa" w:w="100"/>
              <w:left w:type="dxa" w:w="150"/>
              <w:bottom w:type="dxa" w:w="100"/>
              <w:right w:type="dxa" w:w="150"/>
            </w:tcMar>
            <w:vAlign w:val="center"/>
          </w:tcPr>
          <w:p>
            <w:r>
              <w:rPr>
                <w:rFonts w:ascii="Calibri" w:cs="Calibri" w:eastAsia="Calibri" w:hAnsi="Calibri"/>
                <w:sz w:val="20"/>
                <w:szCs w:val="20"/>
              </w:rPr>
              <w:t xml:space="preserve">FR-4</w:t>
            </w:r>
          </w:p>
        </w:tc>
        <w:tc>
          <w:tcPr>
            <w:tcW w:type="dxa" w:w="6900"/>
            <w:shd w:fill="F2F2F2" w:val="clear"/>
            <w:tcMar>
              <w:top w:type="dxa" w:w="100"/>
              <w:left w:type="dxa" w:w="150"/>
              <w:bottom w:type="dxa" w:w="100"/>
              <w:right w:type="dxa" w:w="150"/>
            </w:tcMar>
            <w:vAlign w:val="center"/>
          </w:tcPr>
          <w:p>
            <w:r>
              <w:rPr>
                <w:rFonts w:ascii="Calibri" w:cs="Calibri" w:eastAsia="Calibri" w:hAnsi="Calibri"/>
                <w:sz w:val="20"/>
                <w:szCs w:val="20"/>
              </w:rPr>
              <w:t xml:space="preserve">System shall explicitly decline to answer when no sufficiently relevant passage is found</w:t>
            </w:r>
          </w:p>
        </w:tc>
        <w:tc>
          <w:tcPr>
            <w:tcW w:type="dxa" w:w="1300"/>
            <w:shd w:fill="F2F2F2" w:val="clear"/>
            <w:tcMar>
              <w:top w:type="dxa" w:w="100"/>
              <w:left w:type="dxa" w:w="150"/>
              <w:bottom w:type="dxa" w:w="100"/>
              <w:right w:type="dxa" w:w="150"/>
            </w:tcMar>
            <w:vAlign w:val="center"/>
          </w:tcPr>
          <w:p>
            <w:r>
              <w:rPr>
                <w:rFonts w:ascii="Calibri" w:cs="Calibri" w:eastAsia="Calibri" w:hAnsi="Calibri"/>
                <w:sz w:val="20"/>
                <w:szCs w:val="20"/>
              </w:rPr>
              <w:t xml:space="preserve">Must</w:t>
            </w:r>
          </w:p>
        </w:tc>
      </w:tr>
      <w:tr>
        <w:tc>
          <w:tcPr>
            <w:tcW w:type="dxa" w:w="800"/>
            <w:shd w:fill="FFFFFF" w:val="clear"/>
            <w:tcMar>
              <w:top w:type="dxa" w:w="100"/>
              <w:left w:type="dxa" w:w="150"/>
              <w:bottom w:type="dxa" w:w="100"/>
              <w:right w:type="dxa" w:w="150"/>
            </w:tcMar>
            <w:vAlign w:val="center"/>
          </w:tcPr>
          <w:p>
            <w:r>
              <w:rPr>
                <w:rFonts w:ascii="Calibri" w:cs="Calibri" w:eastAsia="Calibri" w:hAnsi="Calibri"/>
                <w:sz w:val="20"/>
                <w:szCs w:val="20"/>
              </w:rPr>
              <w:t xml:space="preserve">FR-5</w:t>
            </w:r>
          </w:p>
        </w:tc>
        <w:tc>
          <w:tcPr>
            <w:tcW w:type="dxa" w:w="6900"/>
            <w:shd w:fill="FFFFFF" w:val="clear"/>
            <w:tcMar>
              <w:top w:type="dxa" w:w="100"/>
              <w:left w:type="dxa" w:w="150"/>
              <w:bottom w:type="dxa" w:w="100"/>
              <w:right w:type="dxa" w:w="150"/>
            </w:tcMar>
            <w:vAlign w:val="center"/>
          </w:tcPr>
          <w:p>
            <w:r>
              <w:rPr>
                <w:rFonts w:ascii="Calibri" w:cs="Calibri" w:eastAsia="Calibri" w:hAnsi="Calibri"/>
                <w:sz w:val="20"/>
                <w:szCs w:val="20"/>
              </w:rPr>
              <w:t xml:space="preserve">System shall support follow-up questions that reference prior conversation turns</w:t>
            </w:r>
          </w:p>
        </w:tc>
        <w:tc>
          <w:tcPr>
            <w:tcW w:type="dxa" w:w="1300"/>
            <w:shd w:fill="FFFFFF" w:val="clear"/>
            <w:tcMar>
              <w:top w:type="dxa" w:w="100"/>
              <w:left w:type="dxa" w:w="150"/>
              <w:bottom w:type="dxa" w:w="100"/>
              <w:right w:type="dxa" w:w="150"/>
            </w:tcMar>
            <w:vAlign w:val="center"/>
          </w:tcPr>
          <w:p>
            <w:r>
              <w:rPr>
                <w:rFonts w:ascii="Calibri" w:cs="Calibri" w:eastAsia="Calibri" w:hAnsi="Calibri"/>
                <w:sz w:val="20"/>
                <w:szCs w:val="20"/>
              </w:rPr>
              <w:t xml:space="preserve">Must</w:t>
            </w:r>
          </w:p>
        </w:tc>
      </w:tr>
      <w:tr>
        <w:tc>
          <w:tcPr>
            <w:tcW w:type="dxa" w:w="800"/>
            <w:shd w:fill="F2F2F2" w:val="clear"/>
            <w:tcMar>
              <w:top w:type="dxa" w:w="100"/>
              <w:left w:type="dxa" w:w="150"/>
              <w:bottom w:type="dxa" w:w="100"/>
              <w:right w:type="dxa" w:w="150"/>
            </w:tcMar>
            <w:vAlign w:val="center"/>
          </w:tcPr>
          <w:p>
            <w:r>
              <w:rPr>
                <w:rFonts w:ascii="Calibri" w:cs="Calibri" w:eastAsia="Calibri" w:hAnsi="Calibri"/>
                <w:sz w:val="20"/>
                <w:szCs w:val="20"/>
              </w:rPr>
              <w:t xml:space="preserve">FR-6</w:t>
            </w:r>
          </w:p>
        </w:tc>
        <w:tc>
          <w:tcPr>
            <w:tcW w:type="dxa" w:w="6900"/>
            <w:shd w:fill="F2F2F2" w:val="clear"/>
            <w:tcMar>
              <w:top w:type="dxa" w:w="100"/>
              <w:left w:type="dxa" w:w="150"/>
              <w:bottom w:type="dxa" w:w="100"/>
              <w:right w:type="dxa" w:w="150"/>
            </w:tcMar>
            <w:vAlign w:val="center"/>
          </w:tcPr>
          <w:p>
            <w:r>
              <w:rPr>
                <w:rFonts w:ascii="Calibri" w:cs="Calibri" w:eastAsia="Calibri" w:hAnsi="Calibri"/>
                <w:sz w:val="20"/>
                <w:szCs w:val="20"/>
              </w:rPr>
              <w:t xml:space="preserve">System shall isolate conversation state per user session</w:t>
            </w:r>
          </w:p>
        </w:tc>
        <w:tc>
          <w:tcPr>
            <w:tcW w:type="dxa" w:w="1300"/>
            <w:shd w:fill="F2F2F2" w:val="clear"/>
            <w:tcMar>
              <w:top w:type="dxa" w:w="100"/>
              <w:left w:type="dxa" w:w="150"/>
              <w:bottom w:type="dxa" w:w="100"/>
              <w:right w:type="dxa" w:w="150"/>
            </w:tcMar>
            <w:vAlign w:val="center"/>
          </w:tcPr>
          <w:p>
            <w:r>
              <w:rPr>
                <w:rFonts w:ascii="Calibri" w:cs="Calibri" w:eastAsia="Calibri" w:hAnsi="Calibri"/>
                <w:sz w:val="20"/>
                <w:szCs w:val="20"/>
              </w:rPr>
              <w:t xml:space="preserve">Must</w:t>
            </w:r>
          </w:p>
        </w:tc>
      </w:tr>
      <w:tr>
        <w:tc>
          <w:tcPr>
            <w:tcW w:type="dxa" w:w="800"/>
            <w:shd w:fill="FFFFFF" w:val="clear"/>
            <w:tcMar>
              <w:top w:type="dxa" w:w="100"/>
              <w:left w:type="dxa" w:w="150"/>
              <w:bottom w:type="dxa" w:w="100"/>
              <w:right w:type="dxa" w:w="150"/>
            </w:tcMar>
            <w:vAlign w:val="center"/>
          </w:tcPr>
          <w:p>
            <w:r>
              <w:rPr>
                <w:rFonts w:ascii="Calibri" w:cs="Calibri" w:eastAsia="Calibri" w:hAnsi="Calibri"/>
                <w:sz w:val="20"/>
                <w:szCs w:val="20"/>
              </w:rPr>
              <w:t xml:space="preserve">FR-7</w:t>
            </w:r>
          </w:p>
        </w:tc>
        <w:tc>
          <w:tcPr>
            <w:tcW w:type="dxa" w:w="6900"/>
            <w:shd w:fill="FFFFFF" w:val="clear"/>
            <w:tcMar>
              <w:top w:type="dxa" w:w="100"/>
              <w:left w:type="dxa" w:w="150"/>
              <w:bottom w:type="dxa" w:w="100"/>
              <w:right w:type="dxa" w:w="150"/>
            </w:tcMar>
            <w:vAlign w:val="center"/>
          </w:tcPr>
          <w:p>
            <w:r>
              <w:rPr>
                <w:rFonts w:ascii="Calibri" w:cs="Calibri" w:eastAsia="Calibri" w:hAnsi="Calibri"/>
                <w:sz w:val="20"/>
                <w:szCs w:val="20"/>
              </w:rPr>
              <w:t xml:space="preserve">System shall expose a documented HTTP API independent of any specific frontend</w:t>
            </w:r>
          </w:p>
        </w:tc>
        <w:tc>
          <w:tcPr>
            <w:tcW w:type="dxa" w:w="1300"/>
            <w:shd w:fill="FFFFFF" w:val="clear"/>
            <w:tcMar>
              <w:top w:type="dxa" w:w="100"/>
              <w:left w:type="dxa" w:w="150"/>
              <w:bottom w:type="dxa" w:w="100"/>
              <w:right w:type="dxa" w:w="150"/>
            </w:tcMar>
            <w:vAlign w:val="center"/>
          </w:tcPr>
          <w:p>
            <w:r>
              <w:rPr>
                <w:rFonts w:ascii="Calibri" w:cs="Calibri" w:eastAsia="Calibri" w:hAnsi="Calibri"/>
                <w:sz w:val="20"/>
                <w:szCs w:val="20"/>
              </w:rPr>
              <w:t xml:space="preserve">Must</w:t>
            </w:r>
          </w:p>
        </w:tc>
      </w:tr>
      <w:tr>
        <w:tc>
          <w:tcPr>
            <w:tcW w:type="dxa" w:w="800"/>
            <w:shd w:fill="F2F2F2" w:val="clear"/>
            <w:tcMar>
              <w:top w:type="dxa" w:w="100"/>
              <w:left w:type="dxa" w:w="150"/>
              <w:bottom w:type="dxa" w:w="100"/>
              <w:right w:type="dxa" w:w="150"/>
            </w:tcMar>
            <w:vAlign w:val="center"/>
          </w:tcPr>
          <w:p>
            <w:r>
              <w:rPr>
                <w:rFonts w:ascii="Calibri" w:cs="Calibri" w:eastAsia="Calibri" w:hAnsi="Calibri"/>
                <w:sz w:val="20"/>
                <w:szCs w:val="20"/>
              </w:rPr>
              <w:t xml:space="preserve">FR-8</w:t>
            </w:r>
          </w:p>
        </w:tc>
        <w:tc>
          <w:tcPr>
            <w:tcW w:type="dxa" w:w="6900"/>
            <w:shd w:fill="F2F2F2" w:val="clear"/>
            <w:tcMar>
              <w:top w:type="dxa" w:w="100"/>
              <w:left w:type="dxa" w:w="150"/>
              <w:bottom w:type="dxa" w:w="100"/>
              <w:right w:type="dxa" w:w="150"/>
            </w:tcMar>
            <w:vAlign w:val="center"/>
          </w:tcPr>
          <w:p>
            <w:r>
              <w:rPr>
                <w:rFonts w:ascii="Calibri" w:cs="Calibri" w:eastAsia="Calibri" w:hAnsi="Calibri"/>
                <w:sz w:val="20"/>
                <w:szCs w:val="20"/>
              </w:rPr>
              <w:t xml:space="preserve">System shall support adding, updating, and re-indexing source documents without full redeployment</w:t>
            </w:r>
          </w:p>
        </w:tc>
        <w:tc>
          <w:tcPr>
            <w:tcW w:type="dxa" w:w="1300"/>
            <w:shd w:fill="F2F2F2" w:val="clear"/>
            <w:tcMar>
              <w:top w:type="dxa" w:w="100"/>
              <w:left w:type="dxa" w:w="150"/>
              <w:bottom w:type="dxa" w:w="100"/>
              <w:right w:type="dxa" w:w="150"/>
            </w:tcMar>
            <w:vAlign w:val="center"/>
          </w:tcPr>
          <w:p>
            <w:r>
              <w:rPr>
                <w:rFonts w:ascii="Calibri" w:cs="Calibri" w:eastAsia="Calibri" w:hAnsi="Calibri"/>
                <w:sz w:val="20"/>
                <w:szCs w:val="20"/>
              </w:rPr>
              <w:t xml:space="preserve">Should</w:t>
            </w:r>
          </w:p>
        </w:tc>
      </w:tr>
      <w:tr>
        <w:tc>
          <w:tcPr>
            <w:tcW w:type="dxa" w:w="800"/>
            <w:shd w:fill="FFFFFF" w:val="clear"/>
            <w:tcMar>
              <w:top w:type="dxa" w:w="100"/>
              <w:left w:type="dxa" w:w="150"/>
              <w:bottom w:type="dxa" w:w="100"/>
              <w:right w:type="dxa" w:w="150"/>
            </w:tcMar>
            <w:vAlign w:val="center"/>
          </w:tcPr>
          <w:p>
            <w:r>
              <w:rPr>
                <w:rFonts w:ascii="Calibri" w:cs="Calibri" w:eastAsia="Calibri" w:hAnsi="Calibri"/>
                <w:sz w:val="20"/>
                <w:szCs w:val="20"/>
              </w:rPr>
              <w:t xml:space="preserve">FR-9</w:t>
            </w:r>
          </w:p>
        </w:tc>
        <w:tc>
          <w:tcPr>
            <w:tcW w:type="dxa" w:w="6900"/>
            <w:shd w:fill="FFFFFF" w:val="clear"/>
            <w:tcMar>
              <w:top w:type="dxa" w:w="100"/>
              <w:left w:type="dxa" w:w="150"/>
              <w:bottom w:type="dxa" w:w="100"/>
              <w:right w:type="dxa" w:w="150"/>
            </w:tcMar>
            <w:vAlign w:val="center"/>
          </w:tcPr>
          <w:p>
            <w:r>
              <w:rPr>
                <w:rFonts w:ascii="Calibri" w:cs="Calibri" w:eastAsia="Calibri" w:hAnsi="Calibri"/>
                <w:sz w:val="20"/>
                <w:szCs w:val="20"/>
              </w:rPr>
              <w:t xml:space="preserve">System shall log query, retrieval, and response metadata for quality monitoring</w:t>
            </w:r>
          </w:p>
        </w:tc>
        <w:tc>
          <w:tcPr>
            <w:tcW w:type="dxa" w:w="1300"/>
            <w:shd w:fill="FFFFFF" w:val="clear"/>
            <w:tcMar>
              <w:top w:type="dxa" w:w="100"/>
              <w:left w:type="dxa" w:w="150"/>
              <w:bottom w:type="dxa" w:w="100"/>
              <w:right w:type="dxa" w:w="150"/>
            </w:tcMar>
            <w:vAlign w:val="center"/>
          </w:tcPr>
          <w:p>
            <w:r>
              <w:rPr>
                <w:rFonts w:ascii="Calibri" w:cs="Calibri" w:eastAsia="Calibri" w:hAnsi="Calibri"/>
                <w:sz w:val="20"/>
                <w:szCs w:val="20"/>
              </w:rPr>
              <w:t xml:space="preserve">Should</w:t>
            </w:r>
          </w:p>
        </w:tc>
      </w:tr>
      <w:tr>
        <w:tc>
          <w:tcPr>
            <w:tcW w:type="dxa" w:w="800"/>
            <w:shd w:fill="F2F2F2" w:val="clear"/>
            <w:tcMar>
              <w:top w:type="dxa" w:w="100"/>
              <w:left w:type="dxa" w:w="150"/>
              <w:bottom w:type="dxa" w:w="100"/>
              <w:right w:type="dxa" w:w="150"/>
            </w:tcMar>
            <w:vAlign w:val="center"/>
          </w:tcPr>
          <w:p>
            <w:r>
              <w:rPr>
                <w:rFonts w:ascii="Calibri" w:cs="Calibri" w:eastAsia="Calibri" w:hAnsi="Calibri"/>
                <w:sz w:val="20"/>
                <w:szCs w:val="20"/>
              </w:rPr>
              <w:t xml:space="preserve">FR-10</w:t>
            </w:r>
          </w:p>
        </w:tc>
        <w:tc>
          <w:tcPr>
            <w:tcW w:type="dxa" w:w="6900"/>
            <w:shd w:fill="F2F2F2" w:val="clear"/>
            <w:tcMar>
              <w:top w:type="dxa" w:w="100"/>
              <w:left w:type="dxa" w:w="150"/>
              <w:bottom w:type="dxa" w:w="100"/>
              <w:right w:type="dxa" w:w="150"/>
            </w:tcMar>
            <w:vAlign w:val="center"/>
          </w:tcPr>
          <w:p>
            <w:r>
              <w:rPr>
                <w:rFonts w:ascii="Calibri" w:cs="Calibri" w:eastAsia="Calibri" w:hAnsi="Calibri"/>
                <w:sz w:val="20"/>
                <w:szCs w:val="20"/>
              </w:rPr>
              <w:t xml:space="preserve">System shall support filtering retrieval by document category (e.g., statute vs. implementing rule)</w:t>
            </w:r>
          </w:p>
        </w:tc>
        <w:tc>
          <w:tcPr>
            <w:tcW w:type="dxa" w:w="1300"/>
            <w:shd w:fill="F2F2F2" w:val="clear"/>
            <w:tcMar>
              <w:top w:type="dxa" w:w="100"/>
              <w:left w:type="dxa" w:w="150"/>
              <w:bottom w:type="dxa" w:w="100"/>
              <w:right w:type="dxa" w:w="150"/>
            </w:tcMar>
            <w:vAlign w:val="center"/>
          </w:tcPr>
          <w:p>
            <w:r>
              <w:rPr>
                <w:rFonts w:ascii="Calibri" w:cs="Calibri" w:eastAsia="Calibri" w:hAnsi="Calibri"/>
                <w:sz w:val="20"/>
                <w:szCs w:val="20"/>
              </w:rPr>
              <w:t xml:space="preserve">Could</w:t>
            </w:r>
          </w:p>
        </w:tc>
      </w:tr>
    </w:tbl>
    <w:p>
      <w:pPr>
        <w:pStyle w:val="Heading1"/>
        <w:pageBreakBefore/>
        <w:spacing w:after="240" w:before="480"/>
      </w:pPr>
      <w:r>
        <w:t xml:space="preserve">6.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Category</w:t>
            </w:r>
          </w:p>
        </w:tc>
        <w:tc>
          <w:tcPr>
            <w:tcW w:type="dxa" w:w="68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Requirement</w:t>
            </w:r>
          </w:p>
        </w:tc>
      </w:tr>
      <w:tr>
        <w:tc>
          <w:tcPr>
            <w:tcW w:type="dxa" w:w="2200"/>
            <w:shd w:fill="FFFFFF" w:val="clear"/>
            <w:tcMar>
              <w:top w:type="dxa" w:w="100"/>
              <w:left w:type="dxa" w:w="150"/>
              <w:bottom w:type="dxa" w:w="100"/>
              <w:right w:type="dxa" w:w="150"/>
            </w:tcMar>
            <w:vAlign w:val="center"/>
          </w:tcPr>
          <w:p>
            <w:r>
              <w:rPr>
                <w:rFonts w:ascii="Calibri" w:cs="Calibri" w:eastAsia="Calibri" w:hAnsi="Calibri"/>
                <w:sz w:val="20"/>
                <w:szCs w:val="20"/>
              </w:rPr>
              <w:t xml:space="preserve">Performance</w:t>
            </w:r>
          </w:p>
        </w:tc>
        <w:tc>
          <w:tcPr>
            <w:tcW w:type="dxa" w:w="6800"/>
            <w:shd w:fill="FFFFFF" w:val="clear"/>
            <w:tcMar>
              <w:top w:type="dxa" w:w="100"/>
              <w:left w:type="dxa" w:w="150"/>
              <w:bottom w:type="dxa" w:w="100"/>
              <w:right w:type="dxa" w:w="150"/>
            </w:tcMar>
            <w:vAlign w:val="center"/>
          </w:tcPr>
          <w:p>
            <w:r>
              <w:rPr>
                <w:rFonts w:ascii="Calibri" w:cs="Calibri" w:eastAsia="Calibri" w:hAnsi="Calibri"/>
                <w:sz w:val="20"/>
                <w:szCs w:val="20"/>
              </w:rPr>
              <w:t xml:space="preserve">Median end-to-end response time under 10 seconds; 95th percentile under 20 seconds</w:t>
            </w:r>
          </w:p>
        </w:tc>
      </w:tr>
      <w:tr>
        <w:tc>
          <w:tcPr>
            <w:tcW w:type="dxa" w:w="2200"/>
            <w:shd w:fill="F2F2F2" w:val="clear"/>
            <w:tcMar>
              <w:top w:type="dxa" w:w="100"/>
              <w:left w:type="dxa" w:w="150"/>
              <w:bottom w:type="dxa" w:w="100"/>
              <w:right w:type="dxa" w:w="150"/>
            </w:tcMar>
            <w:vAlign w:val="center"/>
          </w:tcPr>
          <w:p>
            <w:r>
              <w:rPr>
                <w:rFonts w:ascii="Calibri" w:cs="Calibri" w:eastAsia="Calibri" w:hAnsi="Calibri"/>
                <w:sz w:val="20"/>
                <w:szCs w:val="20"/>
              </w:rPr>
              <w:t xml:space="preserve">Availability</w:t>
            </w:r>
          </w:p>
        </w:tc>
        <w:tc>
          <w:tcPr>
            <w:tcW w:type="dxa" w:w="6800"/>
            <w:shd w:fill="F2F2F2" w:val="clear"/>
            <w:tcMar>
              <w:top w:type="dxa" w:w="100"/>
              <w:left w:type="dxa" w:w="150"/>
              <w:bottom w:type="dxa" w:w="100"/>
              <w:right w:type="dxa" w:w="150"/>
            </w:tcMar>
            <w:vAlign w:val="center"/>
          </w:tcPr>
          <w:p>
            <w:r>
              <w:rPr>
                <w:rFonts w:ascii="Calibri" w:cs="Calibri" w:eastAsia="Calibri" w:hAnsi="Calibri"/>
                <w:sz w:val="20"/>
                <w:szCs w:val="20"/>
              </w:rPr>
              <w:t xml:space="preserve">Backend targets 99.5% uptime during business hours via Cloud Run managed infrastructure</w:t>
            </w:r>
          </w:p>
        </w:tc>
      </w:tr>
      <w:tr>
        <w:tc>
          <w:tcPr>
            <w:tcW w:type="dxa" w:w="2200"/>
            <w:shd w:fill="FFFFFF" w:val="clear"/>
            <w:tcMar>
              <w:top w:type="dxa" w:w="100"/>
              <w:left w:type="dxa" w:w="150"/>
              <w:bottom w:type="dxa" w:w="100"/>
              <w:right w:type="dxa" w:w="150"/>
            </w:tcMar>
            <w:vAlign w:val="center"/>
          </w:tcPr>
          <w:p>
            <w:r>
              <w:rPr>
                <w:rFonts w:ascii="Calibri" w:cs="Calibri" w:eastAsia="Calibri" w:hAnsi="Calibri"/>
                <w:sz w:val="20"/>
                <w:szCs w:val="20"/>
              </w:rPr>
              <w:t xml:space="preserve">Security</w:t>
            </w:r>
          </w:p>
        </w:tc>
        <w:tc>
          <w:tcPr>
            <w:tcW w:type="dxa" w:w="6800"/>
            <w:shd w:fill="FFFFFF" w:val="clear"/>
            <w:tcMar>
              <w:top w:type="dxa" w:w="100"/>
              <w:left w:type="dxa" w:w="150"/>
              <w:bottom w:type="dxa" w:w="100"/>
              <w:right w:type="dxa" w:w="150"/>
            </w:tcMar>
            <w:vAlign w:val="center"/>
          </w:tcPr>
          <w:p>
            <w:r>
              <w:rPr>
                <w:rFonts w:ascii="Calibri" w:cs="Calibri" w:eastAsia="Calibri" w:hAnsi="Calibri"/>
                <w:sz w:val="20"/>
                <w:szCs w:val="20"/>
              </w:rPr>
              <w:t xml:space="preserve">All traffic encrypted in transit (HTTPS/TLS); no secrets stored in source control</w:t>
            </w:r>
          </w:p>
        </w:tc>
      </w:tr>
      <w:tr>
        <w:tc>
          <w:tcPr>
            <w:tcW w:type="dxa" w:w="2200"/>
            <w:shd w:fill="F2F2F2" w:val="clear"/>
            <w:tcMar>
              <w:top w:type="dxa" w:w="100"/>
              <w:left w:type="dxa" w:w="150"/>
              <w:bottom w:type="dxa" w:w="100"/>
              <w:right w:type="dxa" w:w="150"/>
            </w:tcMar>
            <w:vAlign w:val="center"/>
          </w:tcPr>
          <w:p>
            <w:r>
              <w:rPr>
                <w:rFonts w:ascii="Calibri" w:cs="Calibri" w:eastAsia="Calibri" w:hAnsi="Calibri"/>
                <w:sz w:val="20"/>
                <w:szCs w:val="20"/>
              </w:rPr>
              <w:t xml:space="preserve">Scalability</w:t>
            </w:r>
          </w:p>
        </w:tc>
        <w:tc>
          <w:tcPr>
            <w:tcW w:type="dxa" w:w="6800"/>
            <w:shd w:fill="F2F2F2" w:val="clear"/>
            <w:tcMar>
              <w:top w:type="dxa" w:w="100"/>
              <w:left w:type="dxa" w:w="150"/>
              <w:bottom w:type="dxa" w:w="100"/>
              <w:right w:type="dxa" w:w="150"/>
            </w:tcMar>
            <w:vAlign w:val="center"/>
          </w:tcPr>
          <w:p>
            <w:r>
              <w:rPr>
                <w:rFonts w:ascii="Calibri" w:cs="Calibri" w:eastAsia="Calibri" w:hAnsi="Calibri"/>
                <w:sz w:val="20"/>
                <w:szCs w:val="20"/>
              </w:rPr>
              <w:t xml:space="preserve">Backend must scale horizontally under concurrent load without code changes</w:t>
            </w:r>
          </w:p>
        </w:tc>
      </w:tr>
      <w:tr>
        <w:tc>
          <w:tcPr>
            <w:tcW w:type="dxa" w:w="2200"/>
            <w:shd w:fill="FFFFFF" w:val="clear"/>
            <w:tcMar>
              <w:top w:type="dxa" w:w="100"/>
              <w:left w:type="dxa" w:w="150"/>
              <w:bottom w:type="dxa" w:w="100"/>
              <w:right w:type="dxa" w:w="150"/>
            </w:tcMar>
            <w:vAlign w:val="center"/>
          </w:tcPr>
          <w:p>
            <w:r>
              <w:rPr>
                <w:rFonts w:ascii="Calibri" w:cs="Calibri" w:eastAsia="Calibri" w:hAnsi="Calibri"/>
                <w:sz w:val="20"/>
                <w:szCs w:val="20"/>
              </w:rPr>
              <w:t xml:space="preserve">Maintainability</w:t>
            </w:r>
          </w:p>
        </w:tc>
        <w:tc>
          <w:tcPr>
            <w:tcW w:type="dxa" w:w="6800"/>
            <w:shd w:fill="FFFFFF" w:val="clear"/>
            <w:tcMar>
              <w:top w:type="dxa" w:w="100"/>
              <w:left w:type="dxa" w:w="150"/>
              <w:bottom w:type="dxa" w:w="100"/>
              <w:right w:type="dxa" w:w="150"/>
            </w:tcMar>
            <w:vAlign w:val="center"/>
          </w:tcPr>
          <w:p>
            <w:r>
              <w:rPr>
                <w:rFonts w:ascii="Calibri" w:cs="Calibri" w:eastAsia="Calibri" w:hAnsi="Calibri"/>
                <w:sz w:val="20"/>
                <w:szCs w:val="20"/>
              </w:rPr>
              <w:t xml:space="preserve">Retrieval, generation, and presentation layers must remain independently modifiable</w:t>
            </w:r>
          </w:p>
        </w:tc>
      </w:tr>
      <w:tr>
        <w:tc>
          <w:tcPr>
            <w:tcW w:type="dxa" w:w="2200"/>
            <w:shd w:fill="F2F2F2" w:val="clear"/>
            <w:tcMar>
              <w:top w:type="dxa" w:w="100"/>
              <w:left w:type="dxa" w:w="150"/>
              <w:bottom w:type="dxa" w:w="100"/>
              <w:right w:type="dxa" w:w="150"/>
            </w:tcMar>
            <w:vAlign w:val="center"/>
          </w:tcPr>
          <w:p>
            <w:r>
              <w:rPr>
                <w:rFonts w:ascii="Calibri" w:cs="Calibri" w:eastAsia="Calibri" w:hAnsi="Calibri"/>
                <w:sz w:val="20"/>
                <w:szCs w:val="20"/>
              </w:rPr>
              <w:t xml:space="preserve">Auditability</w:t>
            </w:r>
          </w:p>
        </w:tc>
        <w:tc>
          <w:tcPr>
            <w:tcW w:type="dxa" w:w="6800"/>
            <w:shd w:fill="F2F2F2" w:val="clear"/>
            <w:tcMar>
              <w:top w:type="dxa" w:w="100"/>
              <w:left w:type="dxa" w:w="150"/>
              <w:bottom w:type="dxa" w:w="100"/>
              <w:right w:type="dxa" w:w="150"/>
            </w:tcMar>
            <w:vAlign w:val="center"/>
          </w:tcPr>
          <w:p>
            <w:r>
              <w:rPr>
                <w:rFonts w:ascii="Calibri" w:cs="Calibri" w:eastAsia="Calibri" w:hAnsi="Calibri"/>
                <w:sz w:val="20"/>
                <w:szCs w:val="20"/>
              </w:rPr>
              <w:t xml:space="preserve">Every generated answer must be traceable to specific retrieved source chunks</w:t>
            </w:r>
          </w:p>
        </w:tc>
      </w:tr>
      <w:tr>
        <w:tc>
          <w:tcPr>
            <w:tcW w:type="dxa" w:w="2200"/>
            <w:shd w:fill="FFFFFF" w:val="clear"/>
            <w:tcMar>
              <w:top w:type="dxa" w:w="100"/>
              <w:left w:type="dxa" w:w="150"/>
              <w:bottom w:type="dxa" w:w="100"/>
              <w:right w:type="dxa" w:w="150"/>
            </w:tcMar>
            <w:vAlign w:val="center"/>
          </w:tcPr>
          <w:p>
            <w:r>
              <w:rPr>
                <w:rFonts w:ascii="Calibri" w:cs="Calibri" w:eastAsia="Calibri" w:hAnsi="Calibri"/>
                <w:sz w:val="20"/>
                <w:szCs w:val="20"/>
              </w:rPr>
              <w:t xml:space="preserve">Portability</w:t>
            </w:r>
          </w:p>
        </w:tc>
        <w:tc>
          <w:tcPr>
            <w:tcW w:type="dxa" w:w="6800"/>
            <w:shd w:fill="FFFFFF" w:val="clear"/>
            <w:tcMar>
              <w:top w:type="dxa" w:w="100"/>
              <w:left w:type="dxa" w:w="150"/>
              <w:bottom w:type="dxa" w:w="100"/>
              <w:right w:type="dxa" w:w="150"/>
            </w:tcMar>
            <w:vAlign w:val="center"/>
          </w:tcPr>
          <w:p>
            <w:r>
              <w:rPr>
                <w:rFonts w:ascii="Calibri" w:cs="Calibri" w:eastAsia="Calibri" w:hAnsi="Calibri"/>
                <w:sz w:val="20"/>
                <w:szCs w:val="20"/>
              </w:rPr>
              <w:t xml:space="preserve">Vector store and document pipeline must not be tightly coupled to a single cloud provider</w:t>
            </w:r>
          </w:p>
        </w:tc>
      </w:tr>
      <w:tr>
        <w:tc>
          <w:tcPr>
            <w:tcW w:type="dxa" w:w="2200"/>
            <w:shd w:fill="F2F2F2" w:val="clear"/>
            <w:tcMar>
              <w:top w:type="dxa" w:w="100"/>
              <w:left w:type="dxa" w:w="150"/>
              <w:bottom w:type="dxa" w:w="100"/>
              <w:right w:type="dxa" w:w="150"/>
            </w:tcMar>
            <w:vAlign w:val="center"/>
          </w:tcPr>
          <w:p>
            <w:r>
              <w:rPr>
                <w:rFonts w:ascii="Calibri" w:cs="Calibri" w:eastAsia="Calibri" w:hAnsi="Calibri"/>
                <w:sz w:val="20"/>
                <w:szCs w:val="20"/>
              </w:rPr>
              <w:t xml:space="preserve">Accessibility</w:t>
            </w:r>
          </w:p>
        </w:tc>
        <w:tc>
          <w:tcPr>
            <w:tcW w:type="dxa" w:w="6800"/>
            <w:shd w:fill="F2F2F2" w:val="clear"/>
            <w:tcMar>
              <w:top w:type="dxa" w:w="100"/>
              <w:left w:type="dxa" w:w="150"/>
              <w:bottom w:type="dxa" w:w="100"/>
              <w:right w:type="dxa" w:w="150"/>
            </w:tcMar>
            <w:vAlign w:val="center"/>
          </w:tcPr>
          <w:p>
            <w:r>
              <w:rPr>
                <w:rFonts w:ascii="Calibri" w:cs="Calibri" w:eastAsia="Calibri" w:hAnsi="Calibri"/>
                <w:sz w:val="20"/>
                <w:szCs w:val="20"/>
              </w:rPr>
              <w:t xml:space="preserve">Frontend must meet WCAG 2.1 AA baseline for public-facing client use</w:t>
            </w:r>
          </w:p>
        </w:tc>
      </w:tr>
    </w:tbl>
    <w:p>
      <w:pPr>
        <w:pStyle w:val="Heading1"/>
        <w:pageBreakBefore/>
        <w:spacing w:after="240" w:before="480"/>
      </w:pPr>
      <w:r>
        <w:t xml:space="preserve">7. System Architecture</w:t>
      </w:r>
    </w:p>
    <w:p>
      <w:pPr>
        <w:spacing w:after="200" w:line="276"/>
      </w:pPr>
      <w:r>
        <w:rPr>
          <w:rFonts w:ascii="Calibri" w:cs="Calibri" w:eastAsia="Calibri" w:hAnsi="Calibri"/>
          <w:sz w:val="22"/>
          <w:szCs w:val="22"/>
        </w:rPr>
        <w:t xml:space="preserve">The system follows a layered client-server architecture with a clear separation between presentation, orchestration, retrieval, and generation. No layer holds direct knowledge of another layer's internal implementation — communication occurs exclusively through well-defined interfaces (HTTP/JSON between frontend and backend; function-level APIs between backend and its retrieval/generation dependencies).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7F7F7" w:val="clear"/>
            <w:tcMar>
              <w:top w:type="dxa" w:w="200"/>
              <w:left w:type="dxa" w:w="300"/>
              <w:bottom w:type="dxa" w:w="200"/>
              <w:right w:type="dxa" w:w="300"/>
            </w:tcMar>
          </w:tcPr>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Client Browser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HTTPS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Next.js / TypeScript      │</w:t>
            </w:r>
          </w:p>
          <w:p>
            <w:pPr>
              <w:spacing w:after="0" w:line="240"/>
            </w:pPr>
            <w:r>
              <w:rPr>
                <w:rFonts w:ascii="Consolas" w:cs="Consolas" w:eastAsia="Consolas" w:hAnsi="Consolas"/>
                <w:color w:val="333333"/>
                <w:sz w:val="19"/>
                <w:szCs w:val="19"/>
              </w:rPr>
              <w:t xml:space="preserve">                        │   Frontend (Tailwind CSS)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REST (JSON)</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FastAPI Backend         │</w:t>
            </w:r>
          </w:p>
          <w:p>
            <w:pPr>
              <w:spacing w:after="0" w:line="240"/>
            </w:pPr>
            <w:r>
              <w:rPr>
                <w:rFonts w:ascii="Consolas" w:cs="Consolas" w:eastAsia="Consolas" w:hAnsi="Consolas"/>
                <w:color w:val="333333"/>
                <w:sz w:val="19"/>
                <w:szCs w:val="19"/>
              </w:rPr>
              <w:t xml:space="preserve">                        │   (Google Cloud Run)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w:t>
            </w:r>
          </w:p>
          <w:p>
            <w:pPr>
              <w:spacing w:after="0" w:line="240"/>
            </w:pPr>
            <w:r>
              <w:rPr>
                <w:rFonts w:ascii="Consolas" w:cs="Consolas" w:eastAsia="Consolas" w:hAnsi="Consolas"/>
                <w:color w:val="333333"/>
                <w:sz w:val="19"/>
                <w:szCs w:val="19"/>
              </w:rPr>
              <w:t xml:space="preserve">                 ┌────────────┘           └────────────┐</w:t>
            </w:r>
          </w:p>
          <w:p>
            <w:pPr>
              <w:spacing w:after="0" w:line="240"/>
            </w:pPr>
            <w:r>
              <w:rPr>
                <w:rFonts w:ascii="Consolas" w:cs="Consolas" w:eastAsia="Consolas" w:hAnsi="Consolas"/>
                <w:color w:val="333333"/>
                <w:sz w:val="19"/>
                <w:szCs w:val="19"/>
              </w:rPr>
              <w:t xml:space="preserve">                 ▼                                     ▼</w:t>
            </w:r>
          </w:p>
          <w:p>
            <w:pPr>
              <w:spacing w:after="0" w:line="240"/>
            </w:pPr>
            <w:r>
              <w:rPr>
                <w:rFonts w:ascii="Consolas" w:cs="Consolas" w:eastAsia="Consolas" w:hAnsi="Consolas"/>
                <w:color w:val="333333"/>
                <w:sz w:val="19"/>
                <w:szCs w:val="19"/>
              </w:rPr>
              <w:t xml:space="preserve">     ┌─────────────────────┐               ┌─────────────────────┐</w:t>
            </w:r>
          </w:p>
          <w:p>
            <w:pPr>
              <w:spacing w:after="0" w:line="240"/>
            </w:pPr>
            <w:r>
              <w:rPr>
                <w:rFonts w:ascii="Consolas" w:cs="Consolas" w:eastAsia="Consolas" w:hAnsi="Consolas"/>
                <w:color w:val="333333"/>
                <w:sz w:val="19"/>
                <w:szCs w:val="19"/>
              </w:rPr>
              <w:t xml:space="preserve">     │      ChromaDB           │               │     Claude API          │</w:t>
            </w:r>
          </w:p>
          <w:p>
            <w:pPr>
              <w:spacing w:after="0" w:line="240"/>
            </w:pPr>
            <w:r>
              <w:rPr>
                <w:rFonts w:ascii="Consolas" w:cs="Consolas" w:eastAsia="Consolas" w:hAnsi="Consolas"/>
                <w:color w:val="333333"/>
                <w:sz w:val="19"/>
                <w:szCs w:val="19"/>
              </w:rPr>
              <w:t xml:space="preserve">     │  (Vector Store, persistent)│           │    (Anthropic)          │</w:t>
            </w:r>
          </w:p>
          <w:p>
            <w:pPr>
              <w:spacing w:after="0" w:line="240"/>
            </w:pPr>
            <w:r>
              <w:rPr>
                <w:rFonts w:ascii="Consolas" w:cs="Consolas" w:eastAsia="Consolas" w:hAnsi="Consolas"/>
                <w:color w:val="333333"/>
                <w:sz w:val="19"/>
                <w:szCs w:val="19"/>
              </w:rPr>
              <w:t xml:space="preserve">     └─────────────────────┘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Sentence-Transformers   │</w:t>
            </w:r>
          </w:p>
          <w:p>
            <w:pPr>
              <w:spacing w:after="0" w:line="240"/>
            </w:pPr>
            <w:r>
              <w:rPr>
                <w:rFonts w:ascii="Consolas" w:cs="Consolas" w:eastAsia="Consolas" w:hAnsi="Consolas"/>
                <w:color w:val="333333"/>
                <w:sz w:val="19"/>
                <w:szCs w:val="19"/>
              </w:rPr>
              <w:t xml:space="preserve">     │  (all-MiniLM-L6-v2)      │</w:t>
            </w:r>
          </w:p>
          <w:p>
            <w:pPr>
              <w:spacing w:after="0" w:line="240"/>
            </w:pPr>
            <w:r>
              <w:rPr>
                <w:rFonts w:ascii="Consolas" w:cs="Consolas" w:eastAsia="Consolas" w:hAnsi="Consolas"/>
                <w:color w:val="333333"/>
                <w:sz w:val="19"/>
                <w:szCs w:val="19"/>
              </w:rPr>
              <w:t xml:space="preserve">     └─────────────────────┘</w:t>
            </w:r>
          </w:p>
        </w:tc>
      </w:tr>
    </w:tbl>
    <w:p>
      <w:pPr>
        <w:spacing w:after="300" w:before="100"/>
      </w:pPr>
      <w:r>
        <w:rPr>
          <w:rFonts w:ascii="Calibri" w:cs="Calibri" w:eastAsia="Calibri" w:hAnsi="Calibri"/>
          <w:i/>
          <w:iCs/>
          <w:color w:val="595959"/>
          <w:sz w:val="18"/>
          <w:szCs w:val="18"/>
        </w:rPr>
        <w:t xml:space="preserve">Figure 7.1 — High-level system architecture.</w:t>
      </w:r>
    </w:p>
    <w:p>
      <w:pPr>
        <w:spacing w:after="200" w:line="276"/>
      </w:pPr>
      <w:r>
        <w:rPr>
          <w:rFonts w:ascii="Calibri" w:cs="Calibri" w:eastAsia="Calibri" w:hAnsi="Calibri"/>
          <w:sz w:val="22"/>
          <w:szCs w:val="22"/>
        </w:rPr>
        <w:t xml:space="preserve">The backend is intentionally stateless with respect to compute — the only persistent state it depends on is the ChromaDB vector store (durable storage) and an in-memory session map for short-lived conversation context (see Section 21 for scaling implications of this design).</w:t>
      </w:r>
    </w:p>
    <w:p>
      <w:pPr>
        <w:pStyle w:val="Heading1"/>
        <w:pageBreakBefore/>
        <w:spacing w:after="240" w:before="480"/>
      </w:pPr>
      <w:r>
        <w:t xml:space="preserve">8.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Layer</w:t>
            </w:r>
          </w:p>
        </w:tc>
        <w:tc>
          <w:tcPr>
            <w:tcW w:type="dxa" w:w="32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Technology</w:t>
            </w:r>
          </w:p>
        </w:tc>
        <w:tc>
          <w:tcPr>
            <w:tcW w:type="dxa" w:w="38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Rationale</w:t>
            </w:r>
          </w:p>
        </w:tc>
      </w:tr>
      <w:tr>
        <w:tc>
          <w:tcPr>
            <w:tcW w:type="dxa" w:w="2000"/>
            <w:shd w:fill="FFFFFF" w:val="clear"/>
            <w:tcMar>
              <w:top w:type="dxa" w:w="100"/>
              <w:left w:type="dxa" w:w="150"/>
              <w:bottom w:type="dxa" w:w="100"/>
              <w:right w:type="dxa" w:w="150"/>
            </w:tcMar>
            <w:vAlign w:val="center"/>
          </w:tcPr>
          <w:p>
            <w:r>
              <w:rPr>
                <w:rFonts w:ascii="Calibri" w:cs="Calibri" w:eastAsia="Calibri" w:hAnsi="Calibri"/>
                <w:sz w:val="20"/>
                <w:szCs w:val="20"/>
              </w:rPr>
              <w:t xml:space="preserve">Frontend framework</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Next.js</w:t>
            </w:r>
          </w:p>
        </w:tc>
        <w:tc>
          <w:tcPr>
            <w:tcW w:type="dxa" w:w="3800"/>
            <w:shd w:fill="FFFFFF" w:val="clear"/>
            <w:tcMar>
              <w:top w:type="dxa" w:w="100"/>
              <w:left w:type="dxa" w:w="150"/>
              <w:bottom w:type="dxa" w:w="100"/>
              <w:right w:type="dxa" w:w="150"/>
            </w:tcMar>
            <w:vAlign w:val="center"/>
          </w:tcPr>
          <w:p>
            <w:r>
              <w:rPr>
                <w:rFonts w:ascii="Calibri" w:cs="Calibri" w:eastAsia="Calibri" w:hAnsi="Calibri"/>
                <w:sz w:val="20"/>
                <w:szCs w:val="20"/>
              </w:rPr>
              <w:t xml:space="preserve">Server-side rendering, routing, and production build tooling suited for a public-facing client site</w:t>
            </w:r>
          </w:p>
        </w:tc>
      </w:tr>
      <w:tr>
        <w:tc>
          <w:tcPr>
            <w:tcW w:type="dxa" w:w="2000"/>
            <w:shd w:fill="F2F2F2" w:val="clear"/>
            <w:tcMar>
              <w:top w:type="dxa" w:w="100"/>
              <w:left w:type="dxa" w:w="150"/>
              <w:bottom w:type="dxa" w:w="100"/>
              <w:right w:type="dxa" w:w="150"/>
            </w:tcMar>
            <w:vAlign w:val="center"/>
          </w:tcPr>
          <w:p>
            <w:r>
              <w:rPr>
                <w:rFonts w:ascii="Calibri" w:cs="Calibri" w:eastAsia="Calibri" w:hAnsi="Calibri"/>
                <w:sz w:val="20"/>
                <w:szCs w:val="20"/>
              </w:rPr>
              <w:t xml:space="preserve">Frontend language</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TypeScript</w:t>
            </w:r>
          </w:p>
        </w:tc>
        <w:tc>
          <w:tcPr>
            <w:tcW w:type="dxa" w:w="3800"/>
            <w:shd w:fill="F2F2F2" w:val="clear"/>
            <w:tcMar>
              <w:top w:type="dxa" w:w="100"/>
              <w:left w:type="dxa" w:w="150"/>
              <w:bottom w:type="dxa" w:w="100"/>
              <w:right w:type="dxa" w:w="150"/>
            </w:tcMar>
            <w:vAlign w:val="center"/>
          </w:tcPr>
          <w:p>
            <w:r>
              <w:rPr>
                <w:rFonts w:ascii="Calibri" w:cs="Calibri" w:eastAsia="Calibri" w:hAnsi="Calibri"/>
                <w:sz w:val="20"/>
                <w:szCs w:val="20"/>
              </w:rPr>
              <w:t xml:space="preserve">Compile-time type safety across API contracts between frontend and backend</w:t>
            </w:r>
          </w:p>
        </w:tc>
      </w:tr>
      <w:tr>
        <w:tc>
          <w:tcPr>
            <w:tcW w:type="dxa" w:w="2000"/>
            <w:shd w:fill="FFFFFF" w:val="clear"/>
            <w:tcMar>
              <w:top w:type="dxa" w:w="100"/>
              <w:left w:type="dxa" w:w="150"/>
              <w:bottom w:type="dxa" w:w="100"/>
              <w:right w:type="dxa" w:w="150"/>
            </w:tcMar>
            <w:vAlign w:val="center"/>
          </w:tcPr>
          <w:p>
            <w:r>
              <w:rPr>
                <w:rFonts w:ascii="Calibri" w:cs="Calibri" w:eastAsia="Calibri" w:hAnsi="Calibri"/>
                <w:sz w:val="20"/>
                <w:szCs w:val="20"/>
              </w:rPr>
              <w:t xml:space="preserve">Styling</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Tailwind CSS</w:t>
            </w:r>
          </w:p>
        </w:tc>
        <w:tc>
          <w:tcPr>
            <w:tcW w:type="dxa" w:w="3800"/>
            <w:shd w:fill="FFFFFF" w:val="clear"/>
            <w:tcMar>
              <w:top w:type="dxa" w:w="100"/>
              <w:left w:type="dxa" w:w="150"/>
              <w:bottom w:type="dxa" w:w="100"/>
              <w:right w:type="dxa" w:w="150"/>
            </w:tcMar>
            <w:vAlign w:val="center"/>
          </w:tcPr>
          <w:p>
            <w:r>
              <w:rPr>
                <w:rFonts w:ascii="Calibri" w:cs="Calibri" w:eastAsia="Calibri" w:hAnsi="Calibri"/>
                <w:sz w:val="20"/>
                <w:szCs w:val="20"/>
              </w:rPr>
              <w:t xml:space="preserve">Utility-first styling enabling rapid, consistent UI development</w:t>
            </w:r>
          </w:p>
        </w:tc>
      </w:tr>
      <w:tr>
        <w:tc>
          <w:tcPr>
            <w:tcW w:type="dxa" w:w="2000"/>
            <w:shd w:fill="F2F2F2" w:val="clear"/>
            <w:tcMar>
              <w:top w:type="dxa" w:w="100"/>
              <w:left w:type="dxa" w:w="150"/>
              <w:bottom w:type="dxa" w:w="100"/>
              <w:right w:type="dxa" w:w="150"/>
            </w:tcMar>
            <w:vAlign w:val="center"/>
          </w:tcPr>
          <w:p>
            <w:r>
              <w:rPr>
                <w:rFonts w:ascii="Calibri" w:cs="Calibri" w:eastAsia="Calibri" w:hAnsi="Calibri"/>
                <w:sz w:val="20"/>
                <w:szCs w:val="20"/>
              </w:rPr>
              <w:t xml:space="preserve">Backend framework</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FastAPI (Python)</w:t>
            </w:r>
          </w:p>
        </w:tc>
        <w:tc>
          <w:tcPr>
            <w:tcW w:type="dxa" w:w="3800"/>
            <w:shd w:fill="F2F2F2" w:val="clear"/>
            <w:tcMar>
              <w:top w:type="dxa" w:w="100"/>
              <w:left w:type="dxa" w:w="150"/>
              <w:bottom w:type="dxa" w:w="100"/>
              <w:right w:type="dxa" w:w="150"/>
            </w:tcMar>
            <w:vAlign w:val="center"/>
          </w:tcPr>
          <w:p>
            <w:r>
              <w:rPr>
                <w:rFonts w:ascii="Calibri" w:cs="Calibri" w:eastAsia="Calibri" w:hAnsi="Calibri"/>
                <w:sz w:val="20"/>
                <w:szCs w:val="20"/>
              </w:rPr>
              <w:t xml:space="preserve">Async-capable, automatic request validation, native OpenAPI documentation</w:t>
            </w:r>
          </w:p>
        </w:tc>
      </w:tr>
      <w:tr>
        <w:tc>
          <w:tcPr>
            <w:tcW w:type="dxa" w:w="2000"/>
            <w:shd w:fill="FFFFFF" w:val="clear"/>
            <w:tcMar>
              <w:top w:type="dxa" w:w="100"/>
              <w:left w:type="dxa" w:w="150"/>
              <w:bottom w:type="dxa" w:w="100"/>
              <w:right w:type="dxa" w:w="150"/>
            </w:tcMar>
            <w:vAlign w:val="center"/>
          </w:tcPr>
          <w:p>
            <w:r>
              <w:rPr>
                <w:rFonts w:ascii="Calibri" w:cs="Calibri" w:eastAsia="Calibri" w:hAnsi="Calibri"/>
                <w:sz w:val="20"/>
                <w:szCs w:val="20"/>
              </w:rPr>
              <w:t xml:space="preserve">Generation model</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Claude API (Anthropic)</w:t>
            </w:r>
          </w:p>
        </w:tc>
        <w:tc>
          <w:tcPr>
            <w:tcW w:type="dxa" w:w="3800"/>
            <w:shd w:fill="FFFFFF" w:val="clear"/>
            <w:tcMar>
              <w:top w:type="dxa" w:w="100"/>
              <w:left w:type="dxa" w:w="150"/>
              <w:bottom w:type="dxa" w:w="100"/>
              <w:right w:type="dxa" w:w="150"/>
            </w:tcMar>
            <w:vAlign w:val="center"/>
          </w:tcPr>
          <w:p>
            <w:r>
              <w:rPr>
                <w:rFonts w:ascii="Calibri" w:cs="Calibri" w:eastAsia="Calibri" w:hAnsi="Calibri"/>
                <w:sz w:val="20"/>
                <w:szCs w:val="20"/>
              </w:rPr>
              <w:t xml:space="preserve">Managed, high-quality instruction-following generation without self-hosted inference infrastructure</w:t>
            </w:r>
          </w:p>
        </w:tc>
      </w:tr>
      <w:tr>
        <w:tc>
          <w:tcPr>
            <w:tcW w:type="dxa" w:w="2000"/>
            <w:shd w:fill="F2F2F2" w:val="clear"/>
            <w:tcMar>
              <w:top w:type="dxa" w:w="100"/>
              <w:left w:type="dxa" w:w="150"/>
              <w:bottom w:type="dxa" w:w="100"/>
              <w:right w:type="dxa" w:w="150"/>
            </w:tcMar>
            <w:vAlign w:val="center"/>
          </w:tcPr>
          <w:p>
            <w:r>
              <w:rPr>
                <w:rFonts w:ascii="Calibri" w:cs="Calibri" w:eastAsia="Calibri" w:hAnsi="Calibri"/>
                <w:sz w:val="20"/>
                <w:szCs w:val="20"/>
              </w:rPr>
              <w:t xml:space="preserve">Vector database</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ChromaDB</w:t>
            </w:r>
          </w:p>
        </w:tc>
        <w:tc>
          <w:tcPr>
            <w:tcW w:type="dxa" w:w="3800"/>
            <w:shd w:fill="F2F2F2" w:val="clear"/>
            <w:tcMar>
              <w:top w:type="dxa" w:w="100"/>
              <w:left w:type="dxa" w:w="150"/>
              <w:bottom w:type="dxa" w:w="100"/>
              <w:right w:type="dxa" w:w="150"/>
            </w:tcMar>
            <w:vAlign w:val="center"/>
          </w:tcPr>
          <w:p>
            <w:r>
              <w:rPr>
                <w:rFonts w:ascii="Calibri" w:cs="Calibri" w:eastAsia="Calibri" w:hAnsi="Calibri"/>
                <w:sz w:val="20"/>
                <w:szCs w:val="20"/>
              </w:rPr>
              <w:t xml:space="preserve">Lightweight, persistent, metadata-aware vector store suited to a corpus of this scale</w:t>
            </w:r>
          </w:p>
        </w:tc>
      </w:tr>
      <w:tr>
        <w:tc>
          <w:tcPr>
            <w:tcW w:type="dxa" w:w="2000"/>
            <w:shd w:fill="FFFFFF" w:val="clear"/>
            <w:tcMar>
              <w:top w:type="dxa" w:w="100"/>
              <w:left w:type="dxa" w:w="150"/>
              <w:bottom w:type="dxa" w:w="100"/>
              <w:right w:type="dxa" w:w="150"/>
            </w:tcMar>
            <w:vAlign w:val="center"/>
          </w:tcPr>
          <w:p>
            <w:r>
              <w:rPr>
                <w:rFonts w:ascii="Calibri" w:cs="Calibri" w:eastAsia="Calibri" w:hAnsi="Calibri"/>
                <w:sz w:val="20"/>
                <w:szCs w:val="20"/>
              </w:rPr>
              <w:t xml:space="preserve">Embedding model</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sentence-transformers/all-MiniLM-L6-v2</w:t>
            </w:r>
          </w:p>
        </w:tc>
        <w:tc>
          <w:tcPr>
            <w:tcW w:type="dxa" w:w="3800"/>
            <w:shd w:fill="FFFFFF" w:val="clear"/>
            <w:tcMar>
              <w:top w:type="dxa" w:w="100"/>
              <w:left w:type="dxa" w:w="150"/>
              <w:bottom w:type="dxa" w:w="100"/>
              <w:right w:type="dxa" w:w="150"/>
            </w:tcMar>
            <w:vAlign w:val="center"/>
          </w:tcPr>
          <w:p>
            <w:r>
              <w:rPr>
                <w:rFonts w:ascii="Calibri" w:cs="Calibri" w:eastAsia="Calibri" w:hAnsi="Calibri"/>
                <w:sz w:val="20"/>
                <w:szCs w:val="20"/>
              </w:rPr>
              <w:t xml:space="preserve">Compact, fast, high-quality general-purpose sentence embeddings</w:t>
            </w:r>
          </w:p>
        </w:tc>
      </w:tr>
      <w:tr>
        <w:tc>
          <w:tcPr>
            <w:tcW w:type="dxa" w:w="2000"/>
            <w:shd w:fill="F2F2F2" w:val="clear"/>
            <w:tcMar>
              <w:top w:type="dxa" w:w="100"/>
              <w:left w:type="dxa" w:w="150"/>
              <w:bottom w:type="dxa" w:w="100"/>
              <w:right w:type="dxa" w:w="150"/>
            </w:tcMar>
            <w:vAlign w:val="center"/>
          </w:tcPr>
          <w:p>
            <w:r>
              <w:rPr>
                <w:rFonts w:ascii="Calibri" w:cs="Calibri" w:eastAsia="Calibri" w:hAnsi="Calibri"/>
                <w:sz w:val="20"/>
                <w:szCs w:val="20"/>
              </w:rPr>
              <w:t xml:space="preserve">Deployment (backend)</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Google Cloud Run</w:t>
            </w:r>
          </w:p>
        </w:tc>
        <w:tc>
          <w:tcPr>
            <w:tcW w:type="dxa" w:w="3800"/>
            <w:shd w:fill="F2F2F2" w:val="clear"/>
            <w:tcMar>
              <w:top w:type="dxa" w:w="100"/>
              <w:left w:type="dxa" w:w="150"/>
              <w:bottom w:type="dxa" w:w="100"/>
              <w:right w:type="dxa" w:w="150"/>
            </w:tcMar>
            <w:vAlign w:val="center"/>
          </w:tcPr>
          <w:p>
            <w:r>
              <w:rPr>
                <w:rFonts w:ascii="Calibri" w:cs="Calibri" w:eastAsia="Calibri" w:hAnsi="Calibri"/>
                <w:sz w:val="20"/>
                <w:szCs w:val="20"/>
              </w:rPr>
              <w:t xml:space="preserve">Fully managed, autoscaling, container-based compute with pay-per-use billing</w:t>
            </w:r>
          </w:p>
        </w:tc>
      </w:tr>
      <w:tr>
        <w:tc>
          <w:tcPr>
            <w:tcW w:type="dxa" w:w="2000"/>
            <w:shd w:fill="FFFFFF" w:val="clear"/>
            <w:tcMar>
              <w:top w:type="dxa" w:w="100"/>
              <w:left w:type="dxa" w:w="150"/>
              <w:bottom w:type="dxa" w:w="100"/>
              <w:right w:type="dxa" w:w="150"/>
            </w:tcMar>
            <w:vAlign w:val="center"/>
          </w:tcPr>
          <w:p>
            <w:r>
              <w:rPr>
                <w:rFonts w:ascii="Calibri" w:cs="Calibri" w:eastAsia="Calibri" w:hAnsi="Calibri"/>
                <w:sz w:val="20"/>
                <w:szCs w:val="20"/>
              </w:rPr>
              <w:t xml:space="preserve">Deployment (frontend)</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Next.js (Vercel or equivalent)</w:t>
            </w:r>
          </w:p>
        </w:tc>
        <w:tc>
          <w:tcPr>
            <w:tcW w:type="dxa" w:w="3800"/>
            <w:shd w:fill="FFFFFF" w:val="clear"/>
            <w:tcMar>
              <w:top w:type="dxa" w:w="100"/>
              <w:left w:type="dxa" w:w="150"/>
              <w:bottom w:type="dxa" w:w="100"/>
              <w:right w:type="dxa" w:w="150"/>
            </w:tcMar>
            <w:vAlign w:val="center"/>
          </w:tcPr>
          <w:p>
            <w:r>
              <w:rPr>
                <w:rFonts w:ascii="Calibri" w:cs="Calibri" w:eastAsia="Calibri" w:hAnsi="Calibri"/>
                <w:sz w:val="20"/>
                <w:szCs w:val="20"/>
              </w:rPr>
              <w:t xml:space="preserve">Native hosting optimized for Next.js applications</w:t>
            </w:r>
          </w:p>
        </w:tc>
      </w:tr>
      <w:tr>
        <w:tc>
          <w:tcPr>
            <w:tcW w:type="dxa" w:w="2000"/>
            <w:shd w:fill="F2F2F2" w:val="clear"/>
            <w:tcMar>
              <w:top w:type="dxa" w:w="100"/>
              <w:left w:type="dxa" w:w="150"/>
              <w:bottom w:type="dxa" w:w="100"/>
              <w:right w:type="dxa" w:w="150"/>
            </w:tcMar>
            <w:vAlign w:val="center"/>
          </w:tcPr>
          <w:p>
            <w:r>
              <w:rPr>
                <w:rFonts w:ascii="Calibri" w:cs="Calibri" w:eastAsia="Calibri" w:hAnsi="Calibri"/>
                <w:sz w:val="20"/>
                <w:szCs w:val="20"/>
              </w:rPr>
              <w:t xml:space="preserve">Version control</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GitHub</w:t>
            </w:r>
          </w:p>
        </w:tc>
        <w:tc>
          <w:tcPr>
            <w:tcW w:type="dxa" w:w="3800"/>
            <w:shd w:fill="F2F2F2" w:val="clear"/>
            <w:tcMar>
              <w:top w:type="dxa" w:w="100"/>
              <w:left w:type="dxa" w:w="150"/>
              <w:bottom w:type="dxa" w:w="100"/>
              <w:right w:type="dxa" w:w="150"/>
            </w:tcMar>
            <w:vAlign w:val="center"/>
          </w:tcPr>
          <w:p>
            <w:r>
              <w:rPr>
                <w:rFonts w:ascii="Calibri" w:cs="Calibri" w:eastAsia="Calibri" w:hAnsi="Calibri"/>
                <w:sz w:val="20"/>
                <w:szCs w:val="20"/>
              </w:rPr>
              <w:t xml:space="preserve">Source control, code review, and CI/CD integration</w:t>
            </w:r>
          </w:p>
        </w:tc>
      </w:tr>
    </w:tbl>
    <w:p>
      <w:pPr>
        <w:pStyle w:val="Heading1"/>
        <w:pageBreakBefore/>
        <w:spacing w:after="240" w:before="480"/>
      </w:pPr>
      <w:r>
        <w:t xml:space="preserve">9. Overall Workflow</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7F7F7" w:val="clear"/>
            <w:tcMar>
              <w:top w:type="dxa" w:w="200"/>
              <w:left w:type="dxa" w:w="300"/>
              <w:bottom w:type="dxa" w:w="200"/>
              <w:right w:type="dxa" w:w="300"/>
            </w:tcMar>
          </w:tcPr>
          <w:p>
            <w:pPr>
              <w:spacing w:after="0" w:line="240"/>
            </w:pPr>
            <w:r>
              <w:rPr>
                <w:rFonts w:ascii="Consolas" w:cs="Consolas" w:eastAsia="Consolas" w:hAnsi="Consolas"/>
                <w:color w:val="333333"/>
                <w:sz w:val="19"/>
                <w:szCs w:val="19"/>
              </w:rPr>
              <w:t xml:space="preserve">Client</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Next.js Website</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FastAPI Backend</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Conversation Memory  (resolve session, load recent turns)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Query Rewriting  (resolve follow-up questions using history)</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Embedding Generation  (Sentence-Transformers)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Semantic Retrieval  (ChromaDB similarity search)</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Retrieve Top-K Chunks  (distance-threshold filtered)</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No chunks pass threshold ──▶ Return refusal (Claude never called)</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Prompt Construction  (system instructions + context + question)</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Claude API  (grounded generation)</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Grounded Response  (answer + structured citations)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Return Response to Client</w:t>
            </w:r>
          </w:p>
        </w:tc>
      </w:tr>
    </w:tbl>
    <w:p>
      <w:pPr>
        <w:spacing w:after="300" w:before="100"/>
      </w:pPr>
      <w:r>
        <w:rPr>
          <w:rFonts w:ascii="Calibri" w:cs="Calibri" w:eastAsia="Calibri" w:hAnsi="Calibri"/>
          <w:i/>
          <w:iCs/>
          <w:color w:val="595959"/>
          <w:sz w:val="18"/>
          <w:szCs w:val="18"/>
        </w:rPr>
        <w:t xml:space="preserve">Figure 9.1 — End-to-end request workflow.</w:t>
      </w:r>
    </w:p>
    <w:p>
      <w:pPr>
        <w:pStyle w:val="Heading1"/>
        <w:pageBreakBefore/>
        <w:spacing w:after="240" w:before="480"/>
      </w:pPr>
      <w:r>
        <w:t xml:space="preserve">10. RAG Pipeline</w:t>
      </w:r>
    </w:p>
    <w:p>
      <w:pPr>
        <w:spacing w:after="200" w:line="276"/>
      </w:pPr>
      <w:r>
        <w:rPr>
          <w:rFonts w:ascii="Calibri" w:cs="Calibri" w:eastAsia="Calibri" w:hAnsi="Calibri"/>
          <w:sz w:val="22"/>
          <w:szCs w:val="22"/>
        </w:rPr>
        <w:t xml:space="preserve">Retrieval-Augmented Generation separates the system's two core competencies: finding the truth (retrieval) and articulating it clearly (generation). Every stage is described below.</w:t>
      </w:r>
    </w:p>
    <w:p>
      <w:pPr>
        <w:pStyle w:val="Heading2"/>
        <w:spacing w:after="160" w:before="320"/>
      </w:pPr>
      <w:r>
        <w:t xml:space="preserve">10.1 Document Ingestion</w:t>
      </w:r>
    </w:p>
    <w:p>
      <w:pPr>
        <w:spacing w:after="200" w:line="276"/>
      </w:pPr>
      <w:r>
        <w:rPr>
          <w:rFonts w:ascii="Calibri" w:cs="Calibri" w:eastAsia="Calibri" w:hAnsi="Calibri"/>
          <w:sz w:val="22"/>
          <w:szCs w:val="22"/>
        </w:rPr>
        <w:t xml:space="preserve">Source PDFs are extracted, cleaned, and chunked. This is an offline, periodic process — it runs when the corpus changes, not on every user request.</w:t>
      </w:r>
    </w:p>
    <w:p>
      <w:pPr>
        <w:pStyle w:val="Heading2"/>
        <w:spacing w:after="160" w:before="320"/>
      </w:pPr>
      <w:r>
        <w:t xml:space="preserve">10.2 Chunking</w:t>
      </w:r>
    </w:p>
    <w:p>
      <w:pPr>
        <w:spacing w:after="200" w:line="276"/>
      </w:pPr>
      <w:r>
        <w:rPr>
          <w:rFonts w:ascii="Calibri" w:cs="Calibri" w:eastAsia="Calibri" w:hAnsi="Calibri"/>
          <w:sz w:val="22"/>
          <w:szCs w:val="22"/>
        </w:rPr>
        <w:t xml:space="preserve">Extracted text is split along legal structural boundaries (Article/Section headings) rather than arbitrary character counts, so that each chunk represents a complete, self-contained legal provision wherever possible. A recursive character-based fallback splitter handles oversized provisions or documents lacking clear structural markers.</w:t>
      </w:r>
    </w:p>
    <w:p>
      <w:pPr>
        <w:pStyle w:val="Heading2"/>
        <w:spacing w:after="160" w:before="320"/>
      </w:pPr>
      <w:r>
        <w:t xml:space="preserve">10.3 Embedding</w:t>
      </w:r>
    </w:p>
    <w:p>
      <w:pPr>
        <w:spacing w:after="200" w:line="276"/>
      </w:pPr>
      <w:r>
        <w:rPr>
          <w:rFonts w:ascii="Calibri" w:cs="Calibri" w:eastAsia="Calibri" w:hAnsi="Calibri"/>
          <w:sz w:val="22"/>
          <w:szCs w:val="22"/>
        </w:rPr>
        <w:t xml:space="preserve">Each chunk is converted into a 384-dimension dense vector via all-MiniLM-L6-v2, capturing semantic meaning rather than surface keyword overlap. This allows a user's natural-language phrasing to match legal text even when the exact wording differs.</w:t>
      </w:r>
    </w:p>
    <w:p>
      <w:pPr>
        <w:pStyle w:val="Heading2"/>
        <w:spacing w:after="160" w:before="320"/>
      </w:pPr>
      <w:r>
        <w:t xml:space="preserve">10.4 ChromaDB Storage</w:t>
      </w:r>
    </w:p>
    <w:p>
      <w:pPr>
        <w:spacing w:after="200" w:line="276"/>
      </w:pPr>
      <w:r>
        <w:rPr>
          <w:rFonts w:ascii="Calibri" w:cs="Calibri" w:eastAsia="Calibri" w:hAnsi="Calibri"/>
          <w:sz w:val="22"/>
          <w:szCs w:val="22"/>
        </w:rPr>
        <w:t xml:space="preserve">Vectors, chunk text, and structured metadata (title, law number, category, page range) are stored together in a persistent ChromaDB collection, enabling combined semantic search and metadata-based filtering in a single query.</w:t>
      </w:r>
    </w:p>
    <w:p>
      <w:pPr>
        <w:pStyle w:val="Heading2"/>
        <w:spacing w:after="160" w:before="320"/>
      </w:pPr>
      <w:r>
        <w:t xml:space="preserve">10.5 Semantic Retrieval</w:t>
      </w:r>
    </w:p>
    <w:p>
      <w:pPr>
        <w:spacing w:after="200" w:line="276"/>
      </w:pPr>
      <w:r>
        <w:rPr>
          <w:rFonts w:ascii="Calibri" w:cs="Calibri" w:eastAsia="Calibri" w:hAnsi="Calibri"/>
          <w:sz w:val="22"/>
          <w:szCs w:val="22"/>
        </w:rPr>
        <w:t xml:space="preserve">At query time, the user's question is embedded with the same model used for the corpus, and ChromaDB returns the nearest chunks by vector distance. A configurable distance threshold determines whether a match is confident enough to proceed to generation.</w:t>
      </w:r>
    </w:p>
    <w:p>
      <w:pPr>
        <w:pStyle w:val="Heading2"/>
        <w:spacing w:after="160" w:before="320"/>
      </w:pPr>
      <w:r>
        <w:t xml:space="preserve">10.6 Prompt Building</w:t>
      </w:r>
    </w:p>
    <w:p>
      <w:pPr>
        <w:spacing w:after="200" w:line="276"/>
      </w:pPr>
      <w:r>
        <w:rPr>
          <w:rFonts w:ascii="Calibri" w:cs="Calibri" w:eastAsia="Calibri" w:hAnsi="Calibri"/>
          <w:sz w:val="22"/>
          <w:szCs w:val="22"/>
        </w:rPr>
        <w:t xml:space="preserve">Retrieved chunks are labeled with their source and page number and assembled into a structured prompt alongside strict system instructions: answer only from provided context, cite every claim, and refuse explicitly when context is insufficient.</w:t>
      </w:r>
    </w:p>
    <w:p>
      <w:pPr>
        <w:pStyle w:val="Heading2"/>
        <w:spacing w:after="160" w:before="320"/>
      </w:pPr>
      <w:r>
        <w:t xml:space="preserve">10.7 Claude Generation</w:t>
      </w:r>
    </w:p>
    <w:p>
      <w:pPr>
        <w:spacing w:after="200" w:line="276"/>
      </w:pPr>
      <w:r>
        <w:rPr>
          <w:rFonts w:ascii="Calibri" w:cs="Calibri" w:eastAsia="Calibri" w:hAnsi="Calibri"/>
          <w:sz w:val="22"/>
          <w:szCs w:val="22"/>
        </w:rPr>
        <w:t xml:space="preserve">The constructed prompt is sent to the Claude API. The model synthesizes a natural-language answer strictly from the supplied context, following the citation and refusal rules defined in the system prompt.</w:t>
      </w:r>
    </w:p>
    <w:p>
      <w:pPr>
        <w:pStyle w:val="Heading2"/>
        <w:spacing w:after="160" w:before="320"/>
      </w:pPr>
      <w:r>
        <w:t xml:space="preserve">10.8 Response Generation</w:t>
      </w:r>
    </w:p>
    <w:p>
      <w:pPr>
        <w:spacing w:after="200" w:line="276"/>
      </w:pPr>
      <w:r>
        <w:rPr>
          <w:rFonts w:ascii="Calibri" w:cs="Calibri" w:eastAsia="Calibri" w:hAnsi="Calibri"/>
          <w:sz w:val="22"/>
          <w:szCs w:val="22"/>
        </w:rPr>
        <w:t xml:space="preserve">Structured citations are built directly from the verified retrieval results — not parsed from the model's own generated text — ensuring citation accuracy is independent of the language model's behavior.</w:t>
      </w:r>
    </w:p>
    <w:p>
      <w:pPr>
        <w:pStyle w:val="Heading1"/>
        <w:pageBreakBefore/>
        <w:spacing w:after="240" w:before="480"/>
      </w:pPr>
      <w:r>
        <w:t xml:space="preserve">11. Document Ingestion Pipeline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7F7F7" w:val="clear"/>
            <w:tcMar>
              <w:top w:type="dxa" w:w="200"/>
              <w:left w:type="dxa" w:w="300"/>
              <w:bottom w:type="dxa" w:w="200"/>
              <w:right w:type="dxa" w:w="300"/>
            </w:tcMar>
          </w:tcPr>
          <w:p>
            <w:pPr>
              <w:spacing w:after="0" w:line="240"/>
            </w:pPr>
            <w:r>
              <w:rPr>
                <w:rFonts w:ascii="Consolas" w:cs="Consolas" w:eastAsia="Consolas" w:hAnsi="Consolas"/>
                <w:color w:val="333333"/>
                <w:sz w:val="19"/>
                <w:szCs w:val="19"/>
              </w:rPr>
              <w:t xml:space="preserve">Official Philippine Labor Law PDFs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Extract PDF Text        (page-level extraction, preserves page numbers)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Clean Text              (remove boilerplate headers/footers, fix line breaks)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Chunk Documents         (legal-structure-aware splitting)</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Generate Embeddings     (all-MiniLM-L6-v2)</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Store Metadata          (title, law number, category, page range)</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Store Vectors in ChromaDB   (upsert — idempotent, safe to re-run)</w:t>
            </w:r>
          </w:p>
        </w:tc>
      </w:tr>
    </w:tbl>
    <w:p>
      <w:pPr>
        <w:spacing w:after="300" w:before="100"/>
      </w:pPr>
      <w:r>
        <w:rPr>
          <w:rFonts w:ascii="Calibri" w:cs="Calibri" w:eastAsia="Calibri" w:hAnsi="Calibri"/>
          <w:i/>
          <w:iCs/>
          <w:color w:val="595959"/>
          <w:sz w:val="18"/>
          <w:szCs w:val="18"/>
        </w:rPr>
        <w:t xml:space="preserve">Figure 11.1 — Offline document ingestion pipeline.</w:t>
      </w:r>
    </w:p>
    <w:p>
      <w:pPr>
        <w:spacing w:after="200" w:line="276"/>
      </w:pPr>
      <w:r>
        <w:rPr>
          <w:rFonts w:ascii="Calibri" w:cs="Calibri" w:eastAsia="Calibri" w:hAnsi="Calibri"/>
          <w:sz w:val="22"/>
          <w:szCs w:val="22"/>
        </w:rPr>
        <w:t xml:space="preserve">Ingestion is idempotent by design: re-running the pipeline against an unchanged document produces no duplicate entries, and updating a single document does not require reprocessing the full corpus.</w:t>
      </w:r>
    </w:p>
    <w:p>
      <w:pPr>
        <w:pStyle w:val="Heading1"/>
        <w:pageBreakBefore/>
        <w:spacing w:after="240" w:before="480"/>
      </w:pPr>
      <w:r>
        <w:t xml:space="preserve">12. Chunking Strategy</w:t>
      </w:r>
    </w:p>
    <w:p>
      <w:pPr>
        <w:spacing w:after="200" w:line="276"/>
      </w:pPr>
      <w:r>
        <w:rPr>
          <w:rFonts w:ascii="Calibri" w:cs="Calibri" w:eastAsia="Calibri" w:hAnsi="Calibri"/>
          <w:sz w:val="22"/>
          <w:szCs w:val="22"/>
        </w:rPr>
        <w:t xml:space="preserve">Chunking quality directly bounds retrieval quality — no downstream improvement can compensate for a chunk that splits a legal provision mid-sentence or omits its governing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Parameter</w:t>
            </w:r>
          </w:p>
        </w:tc>
        <w:tc>
          <w:tcPr>
            <w:tcW w:type="dxa" w:w="22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Value</w:t>
            </w:r>
          </w:p>
        </w:tc>
        <w:tc>
          <w:tcPr>
            <w:tcW w:type="dxa" w:w="44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Justification</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Primary split unit</w:t>
            </w:r>
          </w:p>
        </w:tc>
        <w:tc>
          <w:tcPr>
            <w:tcW w:type="dxa" w:w="2200"/>
            <w:shd w:fill="FFFFFF" w:val="clear"/>
            <w:tcMar>
              <w:top w:type="dxa" w:w="100"/>
              <w:left w:type="dxa" w:w="150"/>
              <w:bottom w:type="dxa" w:w="100"/>
              <w:right w:type="dxa" w:w="150"/>
            </w:tcMar>
            <w:vAlign w:val="center"/>
          </w:tcPr>
          <w:p>
            <w:r>
              <w:rPr>
                <w:rFonts w:ascii="Calibri" w:cs="Calibri" w:eastAsia="Calibri" w:hAnsi="Calibri"/>
                <w:sz w:val="20"/>
                <w:szCs w:val="20"/>
              </w:rPr>
              <w:t xml:space="preserve">Article / Section heading</w:t>
            </w:r>
          </w:p>
        </w:tc>
        <w:tc>
          <w:tcPr>
            <w:tcW w:type="dxa" w:w="4400"/>
            <w:shd w:fill="FFFFFF" w:val="clear"/>
            <w:tcMar>
              <w:top w:type="dxa" w:w="100"/>
              <w:left w:type="dxa" w:w="150"/>
              <w:bottom w:type="dxa" w:w="100"/>
              <w:right w:type="dxa" w:w="150"/>
            </w:tcMar>
            <w:vAlign w:val="center"/>
          </w:tcPr>
          <w:p>
            <w:r>
              <w:rPr>
                <w:rFonts w:ascii="Calibri" w:cs="Calibri" w:eastAsia="Calibri" w:hAnsi="Calibri"/>
                <w:sz w:val="20"/>
                <w:szCs w:val="20"/>
              </w:rPr>
              <w:t xml:space="preserve">Preserves legally atomic units matching how provisions are cited and reasoned about</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Fallback max chunk size</w:t>
            </w:r>
          </w:p>
        </w:tc>
        <w:tc>
          <w:tcPr>
            <w:tcW w:type="dxa" w:w="2200"/>
            <w:shd w:fill="F2F2F2" w:val="clear"/>
            <w:tcMar>
              <w:top w:type="dxa" w:w="100"/>
              <w:left w:type="dxa" w:w="150"/>
              <w:bottom w:type="dxa" w:w="100"/>
              <w:right w:type="dxa" w:w="150"/>
            </w:tcMar>
            <w:vAlign w:val="center"/>
          </w:tcPr>
          <w:p>
            <w:r>
              <w:rPr>
                <w:rFonts w:ascii="Calibri" w:cs="Calibri" w:eastAsia="Calibri" w:hAnsi="Calibri"/>
                <w:sz w:val="20"/>
                <w:szCs w:val="20"/>
              </w:rPr>
              <w:t xml:space="preserve">~800 characters</w:t>
            </w:r>
          </w:p>
        </w:tc>
        <w:tc>
          <w:tcPr>
            <w:tcW w:type="dxa" w:w="4400"/>
            <w:shd w:fill="F2F2F2" w:val="clear"/>
            <w:tcMar>
              <w:top w:type="dxa" w:w="100"/>
              <w:left w:type="dxa" w:w="150"/>
              <w:bottom w:type="dxa" w:w="100"/>
              <w:right w:type="dxa" w:w="150"/>
            </w:tcMar>
            <w:vAlign w:val="center"/>
          </w:tcPr>
          <w:p>
            <w:r>
              <w:rPr>
                <w:rFonts w:ascii="Calibri" w:cs="Calibri" w:eastAsia="Calibri" w:hAnsi="Calibri"/>
                <w:sz w:val="20"/>
                <w:szCs w:val="20"/>
              </w:rPr>
              <w:t xml:space="preserve">Stays within the embedding model's effective input capacity with safety margin</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Chunk overlap</w:t>
            </w:r>
          </w:p>
        </w:tc>
        <w:tc>
          <w:tcPr>
            <w:tcW w:type="dxa" w:w="2200"/>
            <w:shd w:fill="FFFFFF" w:val="clear"/>
            <w:tcMar>
              <w:top w:type="dxa" w:w="100"/>
              <w:left w:type="dxa" w:w="150"/>
              <w:bottom w:type="dxa" w:w="100"/>
              <w:right w:type="dxa" w:w="150"/>
            </w:tcMar>
            <w:vAlign w:val="center"/>
          </w:tcPr>
          <w:p>
            <w:r>
              <w:rPr>
                <w:rFonts w:ascii="Calibri" w:cs="Calibri" w:eastAsia="Calibri" w:hAnsi="Calibri"/>
                <w:sz w:val="20"/>
                <w:szCs w:val="20"/>
              </w:rPr>
              <w:t xml:space="preserve">100 characters</w:t>
            </w:r>
          </w:p>
        </w:tc>
        <w:tc>
          <w:tcPr>
            <w:tcW w:type="dxa" w:w="4400"/>
            <w:shd w:fill="FFFFFF" w:val="clear"/>
            <w:tcMar>
              <w:top w:type="dxa" w:w="100"/>
              <w:left w:type="dxa" w:w="150"/>
              <w:bottom w:type="dxa" w:w="100"/>
              <w:right w:type="dxa" w:w="150"/>
            </w:tcMar>
            <w:vAlign w:val="center"/>
          </w:tcPr>
          <w:p>
            <w:r>
              <w:rPr>
                <w:rFonts w:ascii="Calibri" w:cs="Calibri" w:eastAsia="Calibri" w:hAnsi="Calibri"/>
                <w:sz w:val="20"/>
                <w:szCs w:val="20"/>
              </w:rPr>
              <w:t xml:space="preserve">Preserves sentence continuity across forced splits without excessive redundancy</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Boilerplate removal</w:t>
            </w:r>
          </w:p>
        </w:tc>
        <w:tc>
          <w:tcPr>
            <w:tcW w:type="dxa" w:w="2200"/>
            <w:shd w:fill="F2F2F2" w:val="clear"/>
            <w:tcMar>
              <w:top w:type="dxa" w:w="100"/>
              <w:left w:type="dxa" w:w="150"/>
              <w:bottom w:type="dxa" w:w="100"/>
              <w:right w:type="dxa" w:w="150"/>
            </w:tcMar>
            <w:vAlign w:val="center"/>
          </w:tcPr>
          <w:p>
            <w:r>
              <w:rPr>
                <w:rFonts w:ascii="Calibri" w:cs="Calibri" w:eastAsia="Calibri" w:hAnsi="Calibri"/>
                <w:sz w:val="20"/>
                <w:szCs w:val="20"/>
              </w:rPr>
              <w:t xml:space="preserve">Cross-page frequency detection</w:t>
            </w:r>
          </w:p>
        </w:tc>
        <w:tc>
          <w:tcPr>
            <w:tcW w:type="dxa" w:w="4400"/>
            <w:shd w:fill="F2F2F2" w:val="clear"/>
            <w:tcMar>
              <w:top w:type="dxa" w:w="100"/>
              <w:left w:type="dxa" w:w="150"/>
              <w:bottom w:type="dxa" w:w="100"/>
              <w:right w:type="dxa" w:w="150"/>
            </w:tcMar>
            <w:vAlign w:val="center"/>
          </w:tcPr>
          <w:p>
            <w:r>
              <w:rPr>
                <w:rFonts w:ascii="Calibri" w:cs="Calibri" w:eastAsia="Calibri" w:hAnsi="Calibri"/>
                <w:sz w:val="20"/>
                <w:szCs w:val="20"/>
              </w:rPr>
              <w:t xml:space="preserve">Removes repeated headers/footers without risking removal of genuine content</w:t>
            </w:r>
          </w:p>
        </w:tc>
      </w:tr>
    </w:tbl>
    <w:p>
      <w:pPr>
        <w:pStyle w:val="Heading1"/>
        <w:pageBreakBefore/>
        <w:spacing w:after="240" w:before="480"/>
      </w:pPr>
      <w:r>
        <w:t xml:space="preserve">13. Embedding Strategy</w:t>
      </w:r>
    </w:p>
    <w:p>
      <w:pPr>
        <w:spacing w:after="200" w:line="276"/>
      </w:pPr>
      <w:r>
        <w:rPr>
          <w:rFonts w:ascii="Calibri" w:cs="Calibri" w:eastAsia="Calibri" w:hAnsi="Calibri"/>
          <w:sz w:val="22"/>
          <w:szCs w:val="22"/>
        </w:rPr>
        <w:t xml:space="preserve">Embeddings are generated using sentence-transformers/all-MiniLM-L6-v2, chosen for its balance of quality, speed, and resource efficiency — the model runs comfortably on CPU, avoiding a dependency on GPU infrastructure for the retrieval path. All vectors are L2-normalized at generation time, allowing similarity to be computed as a simple dot product rather than full cosine similarity, which materially reduces computation cost at query time.</w:t>
      </w:r>
    </w:p>
    <w:p>
      <w:pPr>
        <w:spacing w:after="200" w:line="276"/>
      </w:pPr>
      <w:r>
        <w:rPr>
          <w:rFonts w:ascii="Calibri" w:cs="Calibri" w:eastAsia="Calibri" w:hAnsi="Calibri"/>
          <w:sz w:val="22"/>
          <w:szCs w:val="22"/>
        </w:rPr>
        <w:t xml:space="preserve">Planned enhancement: embedding text is prepended with structured metadata (document title, law number, known aliases, category) prior to vectorization, giving the embedding model explicit signal beyond raw body text — directly improving retrieval for queries phrased around a law's formal name or number (see Section 24).</w:t>
      </w:r>
    </w:p>
    <w:p>
      <w:pPr>
        <w:pStyle w:val="Heading1"/>
        <w:pageBreakBefore/>
        <w:spacing w:after="240" w:before="480"/>
      </w:pPr>
      <w:r>
        <w:t xml:space="preserve">14. Retrieval Strategy</w:t>
      </w:r>
    </w:p>
    <w:p>
      <w:pPr>
        <w:spacing w:after="200" w:line="276"/>
      </w:pPr>
      <w:r>
        <w:rPr>
          <w:rFonts w:ascii="Calibri" w:cs="Calibri" w:eastAsia="Calibri" w:hAnsi="Calibri"/>
          <w:sz w:val="22"/>
          <w:szCs w:val="22"/>
        </w:rPr>
        <w:t xml:space="preserve">Retrieval combines dense vector similarity search with a distance threshold gate. The threshold serves as the system's primary hallucination defense: if the closest available match is not sufficiently similar to the query, the system reports no relevant context was found and the generation model is never invoked.</w:t>
      </w:r>
    </w:p>
    <w:p>
      <w:pPr>
        <w:pStyle w:val="Heading3"/>
        <w:spacing w:after="120" w:before="240"/>
      </w:pPr>
      <w:r>
        <w:t xml:space="preserve">14.1 Current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Parameter</w:t>
            </w:r>
          </w:p>
        </w:tc>
        <w:tc>
          <w:tcPr>
            <w:tcW w:type="dxa" w:w="45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Value</w:t>
            </w:r>
          </w:p>
        </w:tc>
      </w:tr>
      <w:tr>
        <w:tc>
          <w:tcPr>
            <w:tcW w:type="dxa" w:w="4500"/>
            <w:shd w:fill="FFFFFF" w:val="clear"/>
            <w:tcMar>
              <w:top w:type="dxa" w:w="100"/>
              <w:left w:type="dxa" w:w="150"/>
              <w:bottom w:type="dxa" w:w="100"/>
              <w:right w:type="dxa" w:w="150"/>
            </w:tcMar>
            <w:vAlign w:val="center"/>
          </w:tcPr>
          <w:p>
            <w:r>
              <w:rPr>
                <w:rFonts w:ascii="Calibri" w:cs="Calibri" w:eastAsia="Calibri" w:hAnsi="Calibri"/>
                <w:sz w:val="20"/>
                <w:szCs w:val="20"/>
              </w:rPr>
              <w:t xml:space="preserve">Top-K retrieved chunks</w:t>
            </w:r>
          </w:p>
        </w:tc>
        <w:tc>
          <w:tcPr>
            <w:tcW w:type="dxa" w:w="4500"/>
            <w:shd w:fill="FFFFFF" w:val="clear"/>
            <w:tcMar>
              <w:top w:type="dxa" w:w="100"/>
              <w:left w:type="dxa" w:w="150"/>
              <w:bottom w:type="dxa" w:w="100"/>
              <w:right w:type="dxa" w:w="150"/>
            </w:tcMar>
            <w:vAlign w:val="center"/>
          </w:tcPr>
          <w:p>
            <w:r>
              <w:rPr>
                <w:rFonts w:ascii="Calibri" w:cs="Calibri" w:eastAsia="Calibri" w:hAnsi="Calibri"/>
                <w:sz w:val="20"/>
                <w:szCs w:val="20"/>
              </w:rPr>
              <w:t xml:space="preserve">4 (baseline)</w:t>
            </w:r>
          </w:p>
        </w:tc>
      </w:tr>
      <w:tr>
        <w:tc>
          <w:tcPr>
            <w:tcW w:type="dxa" w:w="4500"/>
            <w:shd w:fill="F2F2F2" w:val="clear"/>
            <w:tcMar>
              <w:top w:type="dxa" w:w="100"/>
              <w:left w:type="dxa" w:w="150"/>
              <w:bottom w:type="dxa" w:w="100"/>
              <w:right w:type="dxa" w:w="150"/>
            </w:tcMar>
            <w:vAlign w:val="center"/>
          </w:tcPr>
          <w:p>
            <w:r>
              <w:rPr>
                <w:rFonts w:ascii="Calibri" w:cs="Calibri" w:eastAsia="Calibri" w:hAnsi="Calibri"/>
                <w:sz w:val="20"/>
                <w:szCs w:val="20"/>
              </w:rPr>
              <w:t xml:space="preserve">Distance threshold</w:t>
            </w:r>
          </w:p>
        </w:tc>
        <w:tc>
          <w:tcPr>
            <w:tcW w:type="dxa" w:w="4500"/>
            <w:shd w:fill="F2F2F2" w:val="clear"/>
            <w:tcMar>
              <w:top w:type="dxa" w:w="100"/>
              <w:left w:type="dxa" w:w="150"/>
              <w:bottom w:type="dxa" w:w="100"/>
              <w:right w:type="dxa" w:w="150"/>
            </w:tcMar>
            <w:vAlign w:val="center"/>
          </w:tcPr>
          <w:p>
            <w:r>
              <w:rPr>
                <w:rFonts w:ascii="Calibri" w:cs="Calibri" w:eastAsia="Calibri" w:hAnsi="Calibri"/>
                <w:sz w:val="20"/>
                <w:szCs w:val="20"/>
              </w:rPr>
              <w:t xml:space="preserve">0.85 (empirically tuned)</w:t>
            </w:r>
          </w:p>
        </w:tc>
      </w:tr>
      <w:tr>
        <w:tc>
          <w:tcPr>
            <w:tcW w:type="dxa" w:w="4500"/>
            <w:shd w:fill="FFFFFF" w:val="clear"/>
            <w:tcMar>
              <w:top w:type="dxa" w:w="100"/>
              <w:left w:type="dxa" w:w="150"/>
              <w:bottom w:type="dxa" w:w="100"/>
              <w:right w:type="dxa" w:w="150"/>
            </w:tcMar>
            <w:vAlign w:val="center"/>
          </w:tcPr>
          <w:p>
            <w:r>
              <w:rPr>
                <w:rFonts w:ascii="Calibri" w:cs="Calibri" w:eastAsia="Calibri" w:hAnsi="Calibri"/>
                <w:sz w:val="20"/>
                <w:szCs w:val="20"/>
              </w:rPr>
              <w:t xml:space="preserve">Similarity metric</w:t>
            </w:r>
          </w:p>
        </w:tc>
        <w:tc>
          <w:tcPr>
            <w:tcW w:type="dxa" w:w="4500"/>
            <w:shd w:fill="FFFFFF" w:val="clear"/>
            <w:tcMar>
              <w:top w:type="dxa" w:w="100"/>
              <w:left w:type="dxa" w:w="150"/>
              <w:bottom w:type="dxa" w:w="100"/>
              <w:right w:type="dxa" w:w="150"/>
            </w:tcMar>
            <w:vAlign w:val="center"/>
          </w:tcPr>
          <w:p>
            <w:r>
              <w:rPr>
                <w:rFonts w:ascii="Calibri" w:cs="Calibri" w:eastAsia="Calibri" w:hAnsi="Calibri"/>
                <w:sz w:val="20"/>
                <w:szCs w:val="20"/>
              </w:rPr>
              <w:t xml:space="preserve">Cosine similarity (via normalized dot product)</w:t>
            </w:r>
          </w:p>
        </w:tc>
      </w:tr>
    </w:tbl>
    <w:p>
      <w:pPr>
        <w:pStyle w:val="Heading3"/>
        <w:spacing w:after="120" w:before="240"/>
      </w:pPr>
      <w:r>
        <w:t xml:space="preserve">14.2 Planned Enhancements</w:t>
      </w:r>
    </w:p>
    <w:p>
      <w:pPr>
        <w:pStyle w:val="ListParagraph"/>
        <w:numPr>
          <w:ilvl w:val="0"/>
          <w:numId w:val="2"/>
        </w:numPr>
        <w:spacing w:after="100"/>
      </w:pPr>
      <w:r>
        <w:rPr>
          <w:rFonts w:ascii="Calibri" w:cs="Calibri" w:eastAsia="Calibri" w:hAnsi="Calibri"/>
          <w:sz w:val="22"/>
          <w:szCs w:val="22"/>
        </w:rPr>
        <w:t xml:space="preserve">Adaptive Top-K — narrower result sets for high-confidence matches, wider for ambiguous queries.</w:t>
      </w:r>
    </w:p>
    <w:p>
      <w:pPr>
        <w:pStyle w:val="ListParagraph"/>
        <w:numPr>
          <w:ilvl w:val="0"/>
          <w:numId w:val="2"/>
        </w:numPr>
        <w:spacing w:after="100"/>
      </w:pPr>
      <w:r>
        <w:rPr>
          <w:rFonts w:ascii="Calibri" w:cs="Calibri" w:eastAsia="Calibri" w:hAnsi="Calibri"/>
          <w:sz w:val="22"/>
          <w:szCs w:val="22"/>
        </w:rPr>
        <w:t xml:space="preserve">Law-number exact-match override — metadata-filtered retrieval when a query explicitly names a Republic Act number.</w:t>
      </w:r>
    </w:p>
    <w:p>
      <w:pPr>
        <w:pStyle w:val="ListParagraph"/>
        <w:numPr>
          <w:ilvl w:val="0"/>
          <w:numId w:val="2"/>
        </w:numPr>
        <w:spacing w:after="100"/>
      </w:pPr>
      <w:r>
        <w:rPr>
          <w:rFonts w:ascii="Calibri" w:cs="Calibri" w:eastAsia="Calibri" w:hAnsi="Calibri"/>
          <w:sz w:val="22"/>
          <w:szCs w:val="22"/>
        </w:rPr>
        <w:t xml:space="preserve">Category-aware conflict resolution — deprioritizing generic statute matches when a more specific, topically-aligned law is already confidently retrieved.</w:t>
      </w:r>
    </w:p>
    <w:p>
      <w:pPr>
        <w:pStyle w:val="Heading1"/>
        <w:pageBreakBefore/>
        <w:spacing w:after="240" w:before="480"/>
      </w:pPr>
      <w:r>
        <w:t xml:space="preserve">15. Prompt Engineering</w:t>
      </w:r>
    </w:p>
    <w:p>
      <w:pPr>
        <w:spacing w:after="200" w:line="276"/>
      </w:pPr>
      <w:r>
        <w:rPr>
          <w:rFonts w:ascii="Calibri" w:cs="Calibri" w:eastAsia="Calibri" w:hAnsi="Calibri"/>
          <w:sz w:val="22"/>
          <w:szCs w:val="22"/>
        </w:rPr>
        <w:t xml:space="preserve">The system prompt enforces five explicit rules: answer only from supplied context; use an exact, fixed refusal string when context is insufficient; cite every claim with document and page; never guess or infer beyond the provided text; and write in plain language suitable for a non-lawyer reader. The refusal string is fixed precisely so that refusal behavior is machine-verifiable in automated evaluation and logging, rather than relying on free-form phrasing detection.</w:t>
      </w:r>
    </w:p>
    <w:p>
      <w:pPr>
        <w:spacing w:after="200" w:line="276"/>
      </w:pPr>
      <w:r>
        <w:rPr>
          <w:rFonts w:ascii="Calibri" w:cs="Calibri" w:eastAsia="Calibri" w:hAnsi="Calibri"/>
          <w:sz w:val="22"/>
          <w:szCs w:val="22"/>
        </w:rPr>
        <w:t xml:space="preserve">Retrieved context and the user's question are clearly delineated with structural labels in the prompt, separating instructions, evidence, and the query itself — reducing the risk of the model conflating retrieved legal text with an instruction to follow.</w:t>
      </w:r>
    </w:p>
    <w:p>
      <w:pPr>
        <w:pStyle w:val="Heading1"/>
        <w:pageBreakBefore/>
        <w:spacing w:after="240" w:before="480"/>
      </w:pPr>
      <w:r>
        <w:t xml:space="preserve">16. Claude API Integration</w:t>
      </w:r>
    </w:p>
    <w:p>
      <w:pPr>
        <w:spacing w:after="200" w:line="276"/>
      </w:pPr>
      <w:r>
        <w:rPr>
          <w:rFonts w:ascii="Calibri" w:cs="Calibri" w:eastAsia="Calibri" w:hAnsi="Calibri"/>
          <w:sz w:val="22"/>
          <w:szCs w:val="22"/>
        </w:rPr>
        <w:t xml:space="preserve">Generation is delegated to the Claude API rather than a self-hosted model. This removes the operational burden of hosting model weights, GPU provisioning, and inference scaling from the firm's infrastructure, at the cost of a per-token usage fee and an external service dependency.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Aspect</w:t>
            </w:r>
          </w:p>
        </w:tc>
        <w:tc>
          <w:tcPr>
            <w:tcW w:type="dxa" w:w="60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Detail</w:t>
            </w:r>
          </w:p>
        </w:tc>
      </w:tr>
      <w:tr>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Authentication</w:t>
            </w:r>
          </w:p>
        </w:tc>
        <w:tc>
          <w:tcPr>
            <w:tcW w:type="dxa" w:w="6000"/>
            <w:shd w:fill="FFFFFF" w:val="clear"/>
            <w:tcMar>
              <w:top w:type="dxa" w:w="100"/>
              <w:left w:type="dxa" w:w="150"/>
              <w:bottom w:type="dxa" w:w="100"/>
              <w:right w:type="dxa" w:w="150"/>
            </w:tcMar>
            <w:vAlign w:val="center"/>
          </w:tcPr>
          <w:p>
            <w:r>
              <w:rPr>
                <w:rFonts w:ascii="Calibri" w:cs="Calibri" w:eastAsia="Calibri" w:hAnsi="Calibri"/>
                <w:sz w:val="20"/>
                <w:szCs w:val="20"/>
              </w:rPr>
              <w:t xml:space="preserve">API key supplied via environment variable, never committed to source control</w:t>
            </w:r>
          </w:p>
        </w:tc>
      </w:tr>
      <w:tr>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Primary model</w:t>
            </w:r>
          </w:p>
        </w:tc>
        <w:tc>
          <w:tcPr>
            <w:tcW w:type="dxa" w:w="6000"/>
            <w:shd w:fill="F2F2F2" w:val="clear"/>
            <w:tcMar>
              <w:top w:type="dxa" w:w="100"/>
              <w:left w:type="dxa" w:w="150"/>
              <w:bottom w:type="dxa" w:w="100"/>
              <w:right w:type="dxa" w:w="150"/>
            </w:tcMar>
            <w:vAlign w:val="center"/>
          </w:tcPr>
          <w:p>
            <w:r>
              <w:rPr>
                <w:rFonts w:ascii="Calibri" w:cs="Calibri" w:eastAsia="Calibri" w:hAnsi="Calibri"/>
                <w:sz w:val="20"/>
                <w:szCs w:val="20"/>
              </w:rPr>
              <w:t xml:space="preserve">claude-sonnet-5 — balanced quality and cost for grounded legal Q&amp;A</w:t>
            </w:r>
          </w:p>
        </w:tc>
      </w:tr>
      <w:tr>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Alternative model (cost-optimized)</w:t>
            </w:r>
          </w:p>
        </w:tc>
        <w:tc>
          <w:tcPr>
            <w:tcW w:type="dxa" w:w="6000"/>
            <w:shd w:fill="FFFFFF" w:val="clear"/>
            <w:tcMar>
              <w:top w:type="dxa" w:w="100"/>
              <w:left w:type="dxa" w:w="150"/>
              <w:bottom w:type="dxa" w:w="100"/>
              <w:right w:type="dxa" w:w="150"/>
            </w:tcMar>
            <w:vAlign w:val="center"/>
          </w:tcPr>
          <w:p>
            <w:r>
              <w:rPr>
                <w:rFonts w:ascii="Calibri" w:cs="Calibri" w:eastAsia="Calibri" w:hAnsi="Calibri"/>
                <w:sz w:val="20"/>
                <w:szCs w:val="20"/>
              </w:rPr>
              <w:t xml:space="preserve">claude-haiku-4-5 — for high query volume where latency and cost outweigh marginal quality gains</w:t>
            </w:r>
          </w:p>
        </w:tc>
      </w:tr>
      <w:tr>
        <w:tc>
          <w:tcPr>
            <w:tcW w:type="dxa" w:w="3000"/>
            <w:shd w:fill="F2F2F2" w:val="clear"/>
            <w:tcMar>
              <w:top w:type="dxa" w:w="100"/>
              <w:left w:type="dxa" w:w="150"/>
              <w:bottom w:type="dxa" w:w="100"/>
              <w:right w:type="dxa" w:w="150"/>
            </w:tcMar>
            <w:vAlign w:val="center"/>
          </w:tcPr>
          <w:p>
            <w:r>
              <w:rPr>
                <w:rFonts w:ascii="Calibri" w:cs="Calibri" w:eastAsia="Calibri" w:hAnsi="Calibri"/>
                <w:sz w:val="20"/>
                <w:szCs w:val="20"/>
              </w:rPr>
              <w:t xml:space="preserve">Alternative model (quality-optimized)</w:t>
            </w:r>
          </w:p>
        </w:tc>
        <w:tc>
          <w:tcPr>
            <w:tcW w:type="dxa" w:w="6000"/>
            <w:shd w:fill="F2F2F2" w:val="clear"/>
            <w:tcMar>
              <w:top w:type="dxa" w:w="100"/>
              <w:left w:type="dxa" w:w="150"/>
              <w:bottom w:type="dxa" w:w="100"/>
              <w:right w:type="dxa" w:w="150"/>
            </w:tcMar>
            <w:vAlign w:val="center"/>
          </w:tcPr>
          <w:p>
            <w:r>
              <w:rPr>
                <w:rFonts w:ascii="Calibri" w:cs="Calibri" w:eastAsia="Calibri" w:hAnsi="Calibri"/>
                <w:sz w:val="20"/>
                <w:szCs w:val="20"/>
              </w:rPr>
              <w:t xml:space="preserve">claude-opus-4-8 — reserved for complex, high-stakes queries if warranted</w:t>
            </w:r>
          </w:p>
        </w:tc>
      </w:tr>
      <w:tr>
        <w:tc>
          <w:tcPr>
            <w:tcW w:type="dxa" w:w="3000"/>
            <w:shd w:fill="FFFFFF" w:val="clear"/>
            <w:tcMar>
              <w:top w:type="dxa" w:w="100"/>
              <w:left w:type="dxa" w:w="150"/>
              <w:bottom w:type="dxa" w:w="100"/>
              <w:right w:type="dxa" w:w="150"/>
            </w:tcMar>
            <w:vAlign w:val="center"/>
          </w:tcPr>
          <w:p>
            <w:r>
              <w:rPr>
                <w:rFonts w:ascii="Calibri" w:cs="Calibri" w:eastAsia="Calibri" w:hAnsi="Calibri"/>
                <w:sz w:val="20"/>
                <w:szCs w:val="20"/>
              </w:rPr>
              <w:t xml:space="preserve">Failure handling</w:t>
            </w:r>
          </w:p>
        </w:tc>
        <w:tc>
          <w:tcPr>
            <w:tcW w:type="dxa" w:w="6000"/>
            <w:shd w:fill="FFFFFF" w:val="clear"/>
            <w:tcMar>
              <w:top w:type="dxa" w:w="100"/>
              <w:left w:type="dxa" w:w="150"/>
              <w:bottom w:type="dxa" w:w="100"/>
              <w:right w:type="dxa" w:w="150"/>
            </w:tcMar>
            <w:vAlign w:val="center"/>
          </w:tcPr>
          <w:p>
            <w:r>
              <w:rPr>
                <w:rFonts w:ascii="Calibri" w:cs="Calibri" w:eastAsia="Calibri" w:hAnsi="Calibri"/>
                <w:sz w:val="20"/>
                <w:szCs w:val="20"/>
              </w:rPr>
              <w:t xml:space="preserve">API errors return a graceful client-facing error; retrieval results are not lost or duplicated on retry</w:t>
            </w:r>
          </w:p>
        </w:tc>
      </w:tr>
    </w:tbl>
    <w:p>
      <w:pPr>
        <w:pStyle w:val="Heading1"/>
        <w:pageBreakBefore/>
        <w:spacing w:after="240" w:before="480"/>
      </w:pPr>
      <w:r>
        <w:t xml:space="preserve">17. FastAPI Backend Architecture</w:t>
      </w:r>
    </w:p>
    <w:p>
      <w:pPr>
        <w:spacing w:after="200" w:line="276"/>
      </w:pPr>
      <w:r>
        <w:rPr>
          <w:rFonts w:ascii="Calibri" w:cs="Calibri" w:eastAsia="Calibri" w:hAnsi="Calibri"/>
          <w:sz w:val="22"/>
          <w:szCs w:val="22"/>
        </w:rPr>
        <w:t xml:space="preserve">The backend exposes a minimal, versioned REST surface: a health-check endpoint and a single chat endpoint. Startup-time initialization (loading the ChromaDB collection and embedding model) occurs once via FastAPI's lifespan handler, ensuring per-request latency reflects only retrieval and generation cost, not initialization overhead.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Endpoint</w:t>
            </w:r>
          </w:p>
        </w:tc>
        <w:tc>
          <w:tcPr>
            <w:tcW w:type="dxa" w:w="18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Method</w:t>
            </w:r>
          </w:p>
        </w:tc>
        <w:tc>
          <w:tcPr>
            <w:tcW w:type="dxa" w:w="48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Purpose</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/health</w:t>
            </w:r>
          </w:p>
        </w:tc>
        <w:tc>
          <w:tcPr>
            <w:tcW w:type="dxa" w:w="1800"/>
            <w:shd w:fill="FFFFFF" w:val="clear"/>
            <w:tcMar>
              <w:top w:type="dxa" w:w="100"/>
              <w:left w:type="dxa" w:w="150"/>
              <w:bottom w:type="dxa" w:w="100"/>
              <w:right w:type="dxa" w:w="150"/>
            </w:tcMar>
            <w:vAlign w:val="center"/>
          </w:tcPr>
          <w:p>
            <w:r>
              <w:rPr>
                <w:rFonts w:ascii="Calibri" w:cs="Calibri" w:eastAsia="Calibri" w:hAnsi="Calibri"/>
                <w:sz w:val="20"/>
                <w:szCs w:val="20"/>
              </w:rPr>
              <w:t xml:space="preserve">GET</w:t>
            </w:r>
          </w:p>
        </w:tc>
        <w:tc>
          <w:tcPr>
            <w:tcW w:type="dxa" w:w="4800"/>
            <w:shd w:fill="FFFFFF" w:val="clear"/>
            <w:tcMar>
              <w:top w:type="dxa" w:w="100"/>
              <w:left w:type="dxa" w:w="150"/>
              <w:bottom w:type="dxa" w:w="100"/>
              <w:right w:type="dxa" w:w="150"/>
            </w:tcMar>
            <w:vAlign w:val="center"/>
          </w:tcPr>
          <w:p>
            <w:r>
              <w:rPr>
                <w:rFonts w:ascii="Calibri" w:cs="Calibri" w:eastAsia="Calibri" w:hAnsi="Calibri"/>
                <w:sz w:val="20"/>
                <w:szCs w:val="20"/>
              </w:rPr>
              <w:t xml:space="preserve">Reports service readiness and indexed chunk count</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/chat</w:t>
            </w:r>
          </w:p>
        </w:tc>
        <w:tc>
          <w:tcPr>
            <w:tcW w:type="dxa" w:w="1800"/>
            <w:shd w:fill="F2F2F2" w:val="clear"/>
            <w:tcMar>
              <w:top w:type="dxa" w:w="100"/>
              <w:left w:type="dxa" w:w="150"/>
              <w:bottom w:type="dxa" w:w="100"/>
              <w:right w:type="dxa" w:w="150"/>
            </w:tcMar>
            <w:vAlign w:val="center"/>
          </w:tcPr>
          <w:p>
            <w:r>
              <w:rPr>
                <w:rFonts w:ascii="Calibri" w:cs="Calibri" w:eastAsia="Calibri" w:hAnsi="Calibri"/>
                <w:sz w:val="20"/>
                <w:szCs w:val="20"/>
              </w:rPr>
              <w:t xml:space="preserve">POST</w:t>
            </w:r>
          </w:p>
        </w:tc>
        <w:tc>
          <w:tcPr>
            <w:tcW w:type="dxa" w:w="4800"/>
            <w:shd w:fill="F2F2F2" w:val="clear"/>
            <w:tcMar>
              <w:top w:type="dxa" w:w="100"/>
              <w:left w:type="dxa" w:w="150"/>
              <w:bottom w:type="dxa" w:w="100"/>
              <w:right w:type="dxa" w:w="150"/>
            </w:tcMar>
            <w:vAlign w:val="center"/>
          </w:tcPr>
          <w:p>
            <w:r>
              <w:rPr>
                <w:rFonts w:ascii="Calibri" w:cs="Calibri" w:eastAsia="Calibri" w:hAnsi="Calibri"/>
                <w:sz w:val="20"/>
                <w:szCs w:val="20"/>
              </w:rPr>
              <w:t xml:space="preserve">Accepts a question and session identifier; returns a grounded answer with citations</w:t>
            </w:r>
          </w:p>
        </w:tc>
      </w:tr>
    </w:tbl>
    <w:p>
      <w:pPr>
        <w:spacing w:after="200" w:line="276"/>
      </w:pPr>
      <w:r>
        <w:rPr>
          <w:rFonts w:ascii="Calibri" w:cs="Calibri" w:eastAsia="Calibri" w:hAnsi="Calibri"/>
          <w:sz w:val="22"/>
          <w:szCs w:val="22"/>
        </w:rPr>
        <w:t xml:space="preserve">Request and response payloads are validated against Pydantic schemas, ensuring malformed input is rejected before reaching business logic. Conversation state is isolated per session identifier via an in-memory session store (see Section 21 regarding its scaling limitation and planned remediation).</w:t>
      </w:r>
    </w:p>
    <w:p>
      <w:pPr>
        <w:pStyle w:val="Heading1"/>
        <w:pageBreakBefore/>
        <w:spacing w:after="240" w:before="480"/>
      </w:pPr>
      <w:r>
        <w:t xml:space="preserve">18. Next.js Frontend Architecture</w:t>
      </w:r>
    </w:p>
    <w:p>
      <w:pPr>
        <w:spacing w:after="200" w:line="276"/>
      </w:pPr>
      <w:r>
        <w:rPr>
          <w:rFonts w:ascii="Calibri" w:cs="Calibri" w:eastAsia="Calibri" w:hAnsi="Calibri"/>
          <w:sz w:val="22"/>
          <w:szCs w:val="22"/>
        </w:rPr>
        <w:t xml:space="preserve">The frontend is a Next.js application styled with Tailwind CSS, communicating with the backend exclusively via its documented REST API. This strict separation means the frontend has no direct knowledge of ChromaDB, the embedding model, or the generation provider — any of these could change without requiring frontend modification.</w:t>
      </w:r>
    </w:p>
    <w:p>
      <w:pPr>
        <w:pStyle w:val="ListParagraph"/>
        <w:numPr>
          <w:ilvl w:val="0"/>
          <w:numId w:val="2"/>
        </w:numPr>
        <w:spacing w:after="100"/>
      </w:pPr>
      <w:r>
        <w:rPr>
          <w:rFonts w:ascii="Calibri" w:cs="Calibri" w:eastAsia="Calibri" w:hAnsi="Calibri"/>
          <w:sz w:val="22"/>
          <w:szCs w:val="22"/>
        </w:rPr>
        <w:t xml:space="preserve">Chat interface with persistent message history for the duration of a browser session.</w:t>
      </w:r>
    </w:p>
    <w:p>
      <w:pPr>
        <w:pStyle w:val="ListParagraph"/>
        <w:numPr>
          <w:ilvl w:val="0"/>
          <w:numId w:val="2"/>
        </w:numPr>
        <w:spacing w:after="100"/>
      </w:pPr>
      <w:r>
        <w:rPr>
          <w:rFonts w:ascii="Calibri" w:cs="Calibri" w:eastAsia="Calibri" w:hAnsi="Calibri"/>
          <w:sz w:val="22"/>
          <w:szCs w:val="22"/>
        </w:rPr>
        <w:t xml:space="preserve">A per-session unique identifier generated client-side, ensuring concurrent users do not share conversation state.</w:t>
      </w:r>
    </w:p>
    <w:p>
      <w:pPr>
        <w:pStyle w:val="ListParagraph"/>
        <w:numPr>
          <w:ilvl w:val="0"/>
          <w:numId w:val="2"/>
        </w:numPr>
        <w:spacing w:after="100"/>
      </w:pPr>
      <w:r>
        <w:rPr>
          <w:rFonts w:ascii="Calibri" w:cs="Calibri" w:eastAsia="Calibri" w:hAnsi="Calibri"/>
          <w:sz w:val="22"/>
          <w:szCs w:val="22"/>
        </w:rPr>
        <w:t xml:space="preserve">An expandable source-citation panel per answer, displaying document title, page reference, and a verifiable text snippet.</w:t>
      </w:r>
    </w:p>
    <w:p>
      <w:pPr>
        <w:pStyle w:val="ListParagraph"/>
        <w:numPr>
          <w:ilvl w:val="0"/>
          <w:numId w:val="2"/>
        </w:numPr>
        <w:spacing w:after="100"/>
      </w:pPr>
      <w:r>
        <w:rPr>
          <w:rFonts w:ascii="Calibri" w:cs="Calibri" w:eastAsia="Calibri" w:hAnsi="Calibri"/>
          <w:sz w:val="22"/>
          <w:szCs w:val="22"/>
        </w:rPr>
        <w:t xml:space="preserve">Graceful degradation and clear error messaging if the backend is temporarily unreachable.</w:t>
      </w:r>
    </w:p>
    <w:p>
      <w:pPr>
        <w:pStyle w:val="Heading1"/>
        <w:pageBreakBefore/>
        <w:spacing w:after="240" w:before="480"/>
      </w:pPr>
      <w:r>
        <w:t xml:space="preserve">19. Google Cloud Run Deployment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7F7F7" w:val="clear"/>
            <w:tcMar>
              <w:top w:type="dxa" w:w="200"/>
              <w:left w:type="dxa" w:w="300"/>
              <w:bottom w:type="dxa" w:w="200"/>
              <w:right w:type="dxa" w:w="300"/>
            </w:tcMar>
          </w:tcPr>
          <w:p>
            <w:pPr>
              <w:spacing w:after="0" w:line="240"/>
            </w:pPr>
            <w:r>
              <w:rPr>
                <w:rFonts w:ascii="Consolas" w:cs="Consolas" w:eastAsia="Consolas" w:hAnsi="Consolas"/>
                <w:color w:val="333333"/>
                <w:sz w:val="19"/>
                <w:szCs w:val="19"/>
              </w:rPr>
              <w:t xml:space="preserve">Frontend</w:t>
            </w:r>
          </w:p>
          <w:p>
            <w:pPr>
              <w:spacing w:after="0" w:line="240"/>
            </w:pPr>
            <w:r>
              <w:rPr>
                <w:rFonts w:ascii="Consolas" w:cs="Consolas" w:eastAsia="Consolas" w:hAnsi="Consolas"/>
                <w:color w:val="333333"/>
                <w:sz w:val="19"/>
                <w:szCs w:val="19"/>
              </w:rPr>
              <w:t xml:space="preserve">  Next.js  (static/edge hosting)</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Backend API</w:t>
            </w:r>
          </w:p>
          <w:p>
            <w:pPr>
              <w:spacing w:after="0" w:line="240"/>
            </w:pPr>
            <w:r>
              <w:rPr>
                <w:rFonts w:ascii="Consolas" w:cs="Consolas" w:eastAsia="Consolas" w:hAnsi="Consolas"/>
                <w:color w:val="333333"/>
                <w:sz w:val="19"/>
                <w:szCs w:val="19"/>
              </w:rPr>
              <w:t xml:space="preserve">  FastAPI  (containerized)</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Google Cloud Run</w:t>
            </w:r>
          </w:p>
          <w:p>
            <w:pPr>
              <w:spacing w:after="0" w:line="240"/>
            </w:pPr>
            <w:r>
              <w:rPr>
                <w:rFonts w:ascii="Consolas" w:cs="Consolas" w:eastAsia="Consolas" w:hAnsi="Consolas"/>
                <w:color w:val="333333"/>
                <w:sz w:val="19"/>
                <w:szCs w:val="19"/>
              </w:rPr>
              <w:t xml:space="preserve">  (autoscaling, HTTPS-terminated, stateless container instances)</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Claude API</w:t>
            </w:r>
          </w:p>
          <w:p>
            <w:pPr>
              <w:spacing w:after="0" w:line="240"/>
            </w:pPr>
            <w:r>
              <w:rPr>
                <w:rFonts w:ascii="Consolas" w:cs="Consolas" w:eastAsia="Consolas" w:hAnsi="Consolas"/>
                <w:color w:val="333333"/>
                <w:sz w:val="19"/>
                <w:szCs w:val="19"/>
              </w:rPr>
              <w:t xml:space="preserve">      │</w:t>
            </w:r>
          </w:p>
          <w:p>
            <w:pPr>
              <w:spacing w:after="0" w:line="240"/>
            </w:pPr>
            <w:r>
              <w:rPr>
                <w:rFonts w:ascii="Consolas" w:cs="Consolas" w:eastAsia="Consolas" w:hAnsi="Consolas"/>
                <w:color w:val="333333"/>
                <w:sz w:val="19"/>
                <w:szCs w:val="19"/>
              </w:rPr>
              <w:t xml:space="preserve">      └──────────────▶  ChromaDB</w:t>
            </w:r>
          </w:p>
          <w:p>
            <w:pPr>
              <w:spacing w:after="0" w:line="240"/>
            </w:pPr>
            <w:r>
              <w:rPr>
                <w:rFonts w:ascii="Consolas" w:cs="Consolas" w:eastAsia="Consolas" w:hAnsi="Consolas"/>
                <w:color w:val="333333"/>
                <w:sz w:val="19"/>
                <w:szCs w:val="19"/>
              </w:rPr>
              <w:t xml:space="preserve">                        (persistent volume or mounted storage)</w:t>
            </w:r>
          </w:p>
        </w:tc>
      </w:tr>
    </w:tbl>
    <w:p>
      <w:pPr>
        <w:spacing w:after="300" w:before="100"/>
      </w:pPr>
      <w:r>
        <w:rPr>
          <w:rFonts w:ascii="Calibri" w:cs="Calibri" w:eastAsia="Calibri" w:hAnsi="Calibri"/>
          <w:i/>
          <w:iCs/>
          <w:color w:val="595959"/>
          <w:sz w:val="18"/>
          <w:szCs w:val="18"/>
        </w:rPr>
        <w:t xml:space="preserve">Figure 19.1 — Deployment topology.</w:t>
      </w:r>
    </w:p>
    <w:p>
      <w:pPr>
        <w:spacing w:after="200" w:line="276"/>
      </w:pPr>
      <w:r>
        <w:rPr>
          <w:rFonts w:ascii="Calibri" w:cs="Calibri" w:eastAsia="Calibri" w:hAnsi="Calibri"/>
          <w:sz w:val="22"/>
          <w:szCs w:val="22"/>
        </w:rPr>
        <w:t xml:space="preserve">The backend is packaged as a container image and deployed to Cloud Run, which handles HTTPS termination, autoscaling (including scale-to-zero during idle periods to minimize cost), and rolling deployments. ChromaDB's persistent data is mounted via a Cloud Storage-backed volume to survive container instance recycling.</w:t>
      </w:r>
    </w:p>
    <w:p>
      <w:pPr>
        <w:pStyle w:val="Heading1"/>
        <w:pageBreakBefore/>
        <w:spacing w:after="240" w:before="480"/>
      </w:pPr>
      <w:r>
        <w:t xml:space="preserve">20. Security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Control</w:t>
            </w:r>
          </w:p>
        </w:tc>
        <w:tc>
          <w:tcPr>
            <w:tcW w:type="dxa" w:w="66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Implementation</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Transport security</w:t>
            </w:r>
          </w:p>
        </w:tc>
        <w:tc>
          <w:tcPr>
            <w:tcW w:type="dxa" w:w="6600"/>
            <w:shd w:fill="FFFFFF" w:val="clear"/>
            <w:tcMar>
              <w:top w:type="dxa" w:w="100"/>
              <w:left w:type="dxa" w:w="150"/>
              <w:bottom w:type="dxa" w:w="100"/>
              <w:right w:type="dxa" w:w="150"/>
            </w:tcMar>
            <w:vAlign w:val="center"/>
          </w:tcPr>
          <w:p>
            <w:r>
              <w:rPr>
                <w:rFonts w:ascii="Calibri" w:cs="Calibri" w:eastAsia="Calibri" w:hAnsi="Calibri"/>
                <w:sz w:val="20"/>
                <w:szCs w:val="20"/>
              </w:rPr>
              <w:t xml:space="preserve">HTTPS enforced end-to-end; Cloud Run provides managed TLS termination</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Secrets management</w:t>
            </w:r>
          </w:p>
        </w:tc>
        <w:tc>
          <w:tcPr>
            <w:tcW w:type="dxa" w:w="6600"/>
            <w:shd w:fill="F2F2F2" w:val="clear"/>
            <w:tcMar>
              <w:top w:type="dxa" w:w="100"/>
              <w:left w:type="dxa" w:w="150"/>
              <w:bottom w:type="dxa" w:w="100"/>
              <w:right w:type="dxa" w:w="150"/>
            </w:tcMar>
            <w:vAlign w:val="center"/>
          </w:tcPr>
          <w:p>
            <w:r>
              <w:rPr>
                <w:rFonts w:ascii="Calibri" w:cs="Calibri" w:eastAsia="Calibri" w:hAnsi="Calibri"/>
                <w:sz w:val="20"/>
                <w:szCs w:val="20"/>
              </w:rPr>
              <w:t xml:space="preserve">API keys (Claude, any third-party services) stored as Cloud Run environment variables / Secret Manager, never in source control</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Input validation</w:t>
            </w:r>
          </w:p>
        </w:tc>
        <w:tc>
          <w:tcPr>
            <w:tcW w:type="dxa" w:w="6600"/>
            <w:shd w:fill="FFFFFF" w:val="clear"/>
            <w:tcMar>
              <w:top w:type="dxa" w:w="100"/>
              <w:left w:type="dxa" w:w="150"/>
              <w:bottom w:type="dxa" w:w="100"/>
              <w:right w:type="dxa" w:w="150"/>
            </w:tcMar>
            <w:vAlign w:val="center"/>
          </w:tcPr>
          <w:p>
            <w:r>
              <w:rPr>
                <w:rFonts w:ascii="Calibri" w:cs="Calibri" w:eastAsia="Calibri" w:hAnsi="Calibri"/>
                <w:sz w:val="20"/>
                <w:szCs w:val="20"/>
              </w:rPr>
              <w:t xml:space="preserve">All request payloads validated against strict Pydantic schemas before processing</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Rate limiting</w:t>
            </w:r>
          </w:p>
        </w:tc>
        <w:tc>
          <w:tcPr>
            <w:tcW w:type="dxa" w:w="6600"/>
            <w:shd w:fill="F2F2F2" w:val="clear"/>
            <w:tcMar>
              <w:top w:type="dxa" w:w="100"/>
              <w:left w:type="dxa" w:w="150"/>
              <w:bottom w:type="dxa" w:w="100"/>
              <w:right w:type="dxa" w:w="150"/>
            </w:tcMar>
            <w:vAlign w:val="center"/>
          </w:tcPr>
          <w:p>
            <w:r>
              <w:rPr>
                <w:rFonts w:ascii="Calibri" w:cs="Calibri" w:eastAsia="Calibri" w:hAnsi="Calibri"/>
                <w:sz w:val="20"/>
                <w:szCs w:val="20"/>
              </w:rPr>
              <w:t xml:space="preserve">Applied at the API gateway / Cloud Run ingress level to prevent abuse and cost overrun</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CORS policy</w:t>
            </w:r>
          </w:p>
        </w:tc>
        <w:tc>
          <w:tcPr>
            <w:tcW w:type="dxa" w:w="6600"/>
            <w:shd w:fill="FFFFFF" w:val="clear"/>
            <w:tcMar>
              <w:top w:type="dxa" w:w="100"/>
              <w:left w:type="dxa" w:w="150"/>
              <w:bottom w:type="dxa" w:w="100"/>
              <w:right w:type="dxa" w:w="150"/>
            </w:tcMar>
            <w:vAlign w:val="center"/>
          </w:tcPr>
          <w:p>
            <w:r>
              <w:rPr>
                <w:rFonts w:ascii="Calibri" w:cs="Calibri" w:eastAsia="Calibri" w:hAnsi="Calibri"/>
                <w:sz w:val="20"/>
                <w:szCs w:val="20"/>
              </w:rPr>
              <w:t xml:space="preserve">Restricted to the firm's known frontend origin(s) in production; wildcard origins used only in development</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Logging</w:t>
            </w:r>
          </w:p>
        </w:tc>
        <w:tc>
          <w:tcPr>
            <w:tcW w:type="dxa" w:w="6600"/>
            <w:shd w:fill="F2F2F2" w:val="clear"/>
            <w:tcMar>
              <w:top w:type="dxa" w:w="100"/>
              <w:left w:type="dxa" w:w="150"/>
              <w:bottom w:type="dxa" w:w="100"/>
              <w:right w:type="dxa" w:w="150"/>
            </w:tcMar>
            <w:vAlign w:val="center"/>
          </w:tcPr>
          <w:p>
            <w:r>
              <w:rPr>
                <w:rFonts w:ascii="Calibri" w:cs="Calibri" w:eastAsia="Calibri" w:hAnsi="Calibri"/>
                <w:sz w:val="20"/>
                <w:szCs w:val="20"/>
              </w:rPr>
              <w:t xml:space="preserve">Structured request/response logging excluding full PII; retrieval and generation metadata logged for quality monitoring</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Error handling</w:t>
            </w:r>
          </w:p>
        </w:tc>
        <w:tc>
          <w:tcPr>
            <w:tcW w:type="dxa" w:w="6600"/>
            <w:shd w:fill="FFFFFF" w:val="clear"/>
            <w:tcMar>
              <w:top w:type="dxa" w:w="100"/>
              <w:left w:type="dxa" w:w="150"/>
              <w:bottom w:type="dxa" w:w="100"/>
              <w:right w:type="dxa" w:w="150"/>
            </w:tcMar>
            <w:vAlign w:val="center"/>
          </w:tcPr>
          <w:p>
            <w:r>
              <w:rPr>
                <w:rFonts w:ascii="Calibri" w:cs="Calibri" w:eastAsia="Calibri" w:hAnsi="Calibri"/>
                <w:sz w:val="20"/>
                <w:szCs w:val="20"/>
              </w:rPr>
              <w:t xml:space="preserve">Internal errors return generic client-facing messages; detailed stack traces are logged server-side only</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Deployment hardening</w:t>
            </w:r>
          </w:p>
        </w:tc>
        <w:tc>
          <w:tcPr>
            <w:tcW w:type="dxa" w:w="6600"/>
            <w:shd w:fill="F2F2F2" w:val="clear"/>
            <w:tcMar>
              <w:top w:type="dxa" w:w="100"/>
              <w:left w:type="dxa" w:w="150"/>
              <w:bottom w:type="dxa" w:w="100"/>
              <w:right w:type="dxa" w:w="150"/>
            </w:tcMar>
            <w:vAlign w:val="center"/>
          </w:tcPr>
          <w:p>
            <w:r>
              <w:rPr>
                <w:rFonts w:ascii="Calibri" w:cs="Calibri" w:eastAsia="Calibri" w:hAnsi="Calibri"/>
                <w:sz w:val="20"/>
                <w:szCs w:val="20"/>
              </w:rPr>
              <w:t xml:space="preserve">Least-privilege service accounts; container images built from minimal base images and scanned for vulnerabilities</w:t>
            </w:r>
          </w:p>
        </w:tc>
      </w:tr>
    </w:tbl>
    <w:p>
      <w:pPr>
        <w:pStyle w:val="Heading1"/>
        <w:pageBreakBefore/>
        <w:spacing w:after="240" w:before="480"/>
      </w:pPr>
      <w:r>
        <w:t xml:space="preserve">21. Scalability Design</w:t>
      </w:r>
    </w:p>
    <w:p>
      <w:pPr>
        <w:pStyle w:val="ListParagraph"/>
        <w:numPr>
          <w:ilvl w:val="0"/>
          <w:numId w:val="2"/>
        </w:numPr>
        <w:spacing w:after="100"/>
      </w:pPr>
      <w:r>
        <w:rPr>
          <w:rFonts w:ascii="Calibri" w:cs="Calibri" w:eastAsia="Calibri" w:hAnsi="Calibri"/>
          <w:sz w:val="22"/>
          <w:szCs w:val="22"/>
        </w:rPr>
        <w:t xml:space="preserve">Cloud Run autoscaling — backend instances scale horizontally with concurrent request volume, and scale to zero during idle periods to control cost.</w:t>
      </w:r>
    </w:p>
    <w:p>
      <w:pPr>
        <w:pStyle w:val="ListParagraph"/>
        <w:numPr>
          <w:ilvl w:val="0"/>
          <w:numId w:val="2"/>
        </w:numPr>
        <w:spacing w:after="100"/>
      </w:pPr>
      <w:r>
        <w:rPr>
          <w:rFonts w:ascii="Calibri" w:cs="Calibri" w:eastAsia="Calibri" w:hAnsi="Calibri"/>
          <w:sz w:val="22"/>
          <w:szCs w:val="22"/>
        </w:rPr>
        <w:t xml:space="preserve">Stateless request handling — each request is independently processable; no server-side session affinity is required for the retrieval/generation path itself.</w:t>
      </w:r>
    </w:p>
    <w:p>
      <w:pPr>
        <w:pStyle w:val="ListParagraph"/>
        <w:numPr>
          <w:ilvl w:val="0"/>
          <w:numId w:val="2"/>
        </w:numPr>
        <w:spacing w:after="100"/>
      </w:pPr>
      <w:r>
        <w:rPr>
          <w:rFonts w:ascii="Calibri" w:cs="Calibri" w:eastAsia="Calibri" w:hAnsi="Calibri"/>
          <w:sz w:val="22"/>
          <w:szCs w:val="22"/>
        </w:rPr>
        <w:t xml:space="preserve">Independent frontend/backend deployment — the two layers scale and deploy on separate lifecycles, avoiding coupled release risk.</w:t>
      </w:r>
    </w:p>
    <w:p>
      <w:pPr>
        <w:pStyle w:val="ListParagraph"/>
        <w:numPr>
          <w:ilvl w:val="0"/>
          <w:numId w:val="2"/>
        </w:numPr>
        <w:spacing w:after="100"/>
      </w:pPr>
      <w:r>
        <w:rPr>
          <w:rFonts w:ascii="Calibri" w:cs="Calibri" w:eastAsia="Calibri" w:hAnsi="Calibri"/>
          <w:sz w:val="22"/>
          <w:szCs w:val="22"/>
        </w:rPr>
        <w:t xml:space="preserve">Claude API scalability — generation capacity scales with Anthropic's managed infrastructure rather than the firm's own compute.</w:t>
      </w:r>
    </w:p>
    <w:p>
      <w:pPr>
        <w:pStyle w:val="ListParagraph"/>
        <w:numPr>
          <w:ilvl w:val="0"/>
          <w:numId w:val="2"/>
        </w:numPr>
        <w:spacing w:after="100"/>
      </w:pPr>
      <w:r>
        <w:rPr>
          <w:rFonts w:ascii="Calibri" w:cs="Calibri" w:eastAsia="Calibri" w:hAnsi="Calibri"/>
          <w:sz w:val="22"/>
          <w:szCs w:val="22"/>
        </w:rPr>
        <w:t xml:space="preserve">ChromaDB persistence — the vector store persists independently of compute instance lifecycle, avoiding data loss on scale-down events.</w:t>
      </w:r>
    </w:p>
    <w:p>
      <w:pPr>
        <w:spacing w:after="200" w:line="276"/>
      </w:pPr>
      <w:r>
        <w:rPr>
          <w:rFonts w:ascii="Calibri" w:cs="Calibri" w:eastAsia="Calibri" w:hAnsi="Calibri"/>
          <w:sz w:val="22"/>
          <w:szCs w:val="22"/>
        </w:rPr>
        <w:t xml:space="preserve">Known constraint: the current conversation session store is in-memory within a single backend instance. Under horizontal autoscaling with multiple concurrent instances, this could cause a user's follow-up question to be routed to an instance without their prior turn's context. Remediation (external session store via Redis or equivalent) is prioritized in Section 24.</w:t>
      </w:r>
    </w:p>
    <w:p>
      <w:pPr>
        <w:pStyle w:val="Heading1"/>
        <w:pageBreakBefore/>
        <w:spacing w:after="240" w:before="480"/>
      </w:pPr>
      <w:r>
        <w:t xml:space="preserve">22. Performance Optimization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Stage</w:t>
            </w:r>
          </w:p>
        </w:tc>
        <w:tc>
          <w:tcPr>
            <w:tcW w:type="dxa" w:w="28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Typical Latency Contribution</w:t>
            </w:r>
          </w:p>
        </w:tc>
        <w:tc>
          <w:tcPr>
            <w:tcW w:type="dxa" w:w="36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Optimization Opportunity</w:t>
            </w:r>
          </w:p>
        </w:tc>
      </w:tr>
      <w:tr>
        <w:tc>
          <w:tcPr>
            <w:tcW w:type="dxa" w:w="2600"/>
            <w:shd w:fill="FFFFFF" w:val="clear"/>
            <w:tcMar>
              <w:top w:type="dxa" w:w="100"/>
              <w:left w:type="dxa" w:w="150"/>
              <w:bottom w:type="dxa" w:w="100"/>
              <w:right w:type="dxa" w:w="150"/>
            </w:tcMar>
            <w:vAlign w:val="center"/>
          </w:tcPr>
          <w:p>
            <w:r>
              <w:rPr>
                <w:rFonts w:ascii="Calibri" w:cs="Calibri" w:eastAsia="Calibri" w:hAnsi="Calibri"/>
                <w:sz w:val="20"/>
                <w:szCs w:val="20"/>
              </w:rPr>
              <w:t xml:space="preserve">Embedding generation (query)</w:t>
            </w:r>
          </w:p>
        </w:tc>
        <w:tc>
          <w:tcPr>
            <w:tcW w:type="dxa" w:w="2800"/>
            <w:shd w:fill="FFFFFF" w:val="clear"/>
            <w:tcMar>
              <w:top w:type="dxa" w:w="100"/>
              <w:left w:type="dxa" w:w="150"/>
              <w:bottom w:type="dxa" w:w="100"/>
              <w:right w:type="dxa" w:w="150"/>
            </w:tcMar>
            <w:vAlign w:val="center"/>
          </w:tcPr>
          <w:p>
            <w:r>
              <w:rPr>
                <w:rFonts w:ascii="Calibri" w:cs="Calibri" w:eastAsia="Calibri" w:hAnsi="Calibri"/>
                <w:sz w:val="20"/>
                <w:szCs w:val="20"/>
              </w:rPr>
              <w:t xml:space="preserve">&lt; 100 ms</w:t>
            </w:r>
          </w:p>
        </w:tc>
        <w:tc>
          <w:tcPr>
            <w:tcW w:type="dxa" w:w="3600"/>
            <w:shd w:fill="FFFFFF" w:val="clear"/>
            <w:tcMar>
              <w:top w:type="dxa" w:w="100"/>
              <w:left w:type="dxa" w:w="150"/>
              <w:bottom w:type="dxa" w:w="100"/>
              <w:right w:type="dxa" w:w="150"/>
            </w:tcMar>
            <w:vAlign w:val="center"/>
          </w:tcPr>
          <w:p>
            <w:r>
              <w:rPr>
                <w:rFonts w:ascii="Calibri" w:cs="Calibri" w:eastAsia="Calibri" w:hAnsi="Calibri"/>
                <w:sz w:val="20"/>
                <w:szCs w:val="20"/>
              </w:rPr>
              <w:t xml:space="preserve">Already near-optimal; CPU-bound, model is intentionally lightweight</w:t>
            </w:r>
          </w:p>
        </w:tc>
      </w:tr>
      <w:tr>
        <w:tc>
          <w:tcPr>
            <w:tcW w:type="dxa" w:w="2600"/>
            <w:shd w:fill="F2F2F2" w:val="clear"/>
            <w:tcMar>
              <w:top w:type="dxa" w:w="100"/>
              <w:left w:type="dxa" w:w="150"/>
              <w:bottom w:type="dxa" w:w="100"/>
              <w:right w:type="dxa" w:w="150"/>
            </w:tcMar>
            <w:vAlign w:val="center"/>
          </w:tcPr>
          <w:p>
            <w:r>
              <w:rPr>
                <w:rFonts w:ascii="Calibri" w:cs="Calibri" w:eastAsia="Calibri" w:hAnsi="Calibri"/>
                <w:sz w:val="20"/>
                <w:szCs w:val="20"/>
              </w:rPr>
              <w:t xml:space="preserve">ChromaDB retrieval</w:t>
            </w:r>
          </w:p>
        </w:tc>
        <w:tc>
          <w:tcPr>
            <w:tcW w:type="dxa" w:w="2800"/>
            <w:shd w:fill="F2F2F2" w:val="clear"/>
            <w:tcMar>
              <w:top w:type="dxa" w:w="100"/>
              <w:left w:type="dxa" w:w="150"/>
              <w:bottom w:type="dxa" w:w="100"/>
              <w:right w:type="dxa" w:w="150"/>
            </w:tcMar>
            <w:vAlign w:val="center"/>
          </w:tcPr>
          <w:p>
            <w:r>
              <w:rPr>
                <w:rFonts w:ascii="Calibri" w:cs="Calibri" w:eastAsia="Calibri" w:hAnsi="Calibri"/>
                <w:sz w:val="20"/>
                <w:szCs w:val="20"/>
              </w:rPr>
              <w:t xml:space="preserve">&lt; 200 ms at current corpus scale</w:t>
            </w:r>
          </w:p>
        </w:tc>
        <w:tc>
          <w:tcPr>
            <w:tcW w:type="dxa" w:w="3600"/>
            <w:shd w:fill="F2F2F2" w:val="clear"/>
            <w:tcMar>
              <w:top w:type="dxa" w:w="100"/>
              <w:left w:type="dxa" w:w="150"/>
              <w:bottom w:type="dxa" w:w="100"/>
              <w:right w:type="dxa" w:w="150"/>
            </w:tcMar>
            <w:vAlign w:val="center"/>
          </w:tcPr>
          <w:p>
            <w:r>
              <w:rPr>
                <w:rFonts w:ascii="Calibri" w:cs="Calibri" w:eastAsia="Calibri" w:hAnsi="Calibri"/>
                <w:sz w:val="20"/>
                <w:szCs w:val="20"/>
              </w:rPr>
              <w:t xml:space="preserve">Indexing (HNSW) already sub-linear; monitor as corpus grows</w:t>
            </w:r>
          </w:p>
        </w:tc>
      </w:tr>
      <w:tr>
        <w:tc>
          <w:tcPr>
            <w:tcW w:type="dxa" w:w="2600"/>
            <w:shd w:fill="FFFFFF" w:val="clear"/>
            <w:tcMar>
              <w:top w:type="dxa" w:w="100"/>
              <w:left w:type="dxa" w:w="150"/>
              <w:bottom w:type="dxa" w:w="100"/>
              <w:right w:type="dxa" w:w="150"/>
            </w:tcMar>
            <w:vAlign w:val="center"/>
          </w:tcPr>
          <w:p>
            <w:r>
              <w:rPr>
                <w:rFonts w:ascii="Calibri" w:cs="Calibri" w:eastAsia="Calibri" w:hAnsi="Calibri"/>
                <w:sz w:val="20"/>
                <w:szCs w:val="20"/>
              </w:rPr>
              <w:t xml:space="preserve">Query rewriting (Claude call)</w:t>
            </w:r>
          </w:p>
        </w:tc>
        <w:tc>
          <w:tcPr>
            <w:tcW w:type="dxa" w:w="2800"/>
            <w:shd w:fill="FFFFFF" w:val="clear"/>
            <w:tcMar>
              <w:top w:type="dxa" w:w="100"/>
              <w:left w:type="dxa" w:w="150"/>
              <w:bottom w:type="dxa" w:w="100"/>
              <w:right w:type="dxa" w:w="150"/>
            </w:tcMar>
            <w:vAlign w:val="center"/>
          </w:tcPr>
          <w:p>
            <w:r>
              <w:rPr>
                <w:rFonts w:ascii="Calibri" w:cs="Calibri" w:eastAsia="Calibri" w:hAnsi="Calibri"/>
                <w:sz w:val="20"/>
                <w:szCs w:val="20"/>
              </w:rPr>
              <w:t xml:space="preserve">1–3 seconds</w:t>
            </w:r>
          </w:p>
        </w:tc>
        <w:tc>
          <w:tcPr>
            <w:tcW w:type="dxa" w:w="3600"/>
            <w:shd w:fill="FFFFFF" w:val="clear"/>
            <w:tcMar>
              <w:top w:type="dxa" w:w="100"/>
              <w:left w:type="dxa" w:w="150"/>
              <w:bottom w:type="dxa" w:w="100"/>
              <w:right w:type="dxa" w:w="150"/>
            </w:tcMar>
            <w:vAlign w:val="center"/>
          </w:tcPr>
          <w:p>
            <w:r>
              <w:rPr>
                <w:rFonts w:ascii="Calibri" w:cs="Calibri" w:eastAsia="Calibri" w:hAnsi="Calibri"/>
                <w:sz w:val="20"/>
                <w:szCs w:val="20"/>
              </w:rPr>
              <w:t xml:space="preserve">Optional — can be skipped when no conversation history exists</w:t>
            </w:r>
          </w:p>
        </w:tc>
      </w:tr>
      <w:tr>
        <w:tc>
          <w:tcPr>
            <w:tcW w:type="dxa" w:w="2600"/>
            <w:shd w:fill="F2F2F2" w:val="clear"/>
            <w:tcMar>
              <w:top w:type="dxa" w:w="100"/>
              <w:left w:type="dxa" w:w="150"/>
              <w:bottom w:type="dxa" w:w="100"/>
              <w:right w:type="dxa" w:w="150"/>
            </w:tcMar>
            <w:vAlign w:val="center"/>
          </w:tcPr>
          <w:p>
            <w:r>
              <w:rPr>
                <w:rFonts w:ascii="Calibri" w:cs="Calibri" w:eastAsia="Calibri" w:hAnsi="Calibri"/>
                <w:sz w:val="20"/>
                <w:szCs w:val="20"/>
              </w:rPr>
              <w:t xml:space="preserve">Claude generation</w:t>
            </w:r>
          </w:p>
        </w:tc>
        <w:tc>
          <w:tcPr>
            <w:tcW w:type="dxa" w:w="2800"/>
            <w:shd w:fill="F2F2F2" w:val="clear"/>
            <w:tcMar>
              <w:top w:type="dxa" w:w="100"/>
              <w:left w:type="dxa" w:w="150"/>
              <w:bottom w:type="dxa" w:w="100"/>
              <w:right w:type="dxa" w:w="150"/>
            </w:tcMar>
            <w:vAlign w:val="center"/>
          </w:tcPr>
          <w:p>
            <w:r>
              <w:rPr>
                <w:rFonts w:ascii="Calibri" w:cs="Calibri" w:eastAsia="Calibri" w:hAnsi="Calibri"/>
                <w:sz w:val="20"/>
                <w:szCs w:val="20"/>
              </w:rPr>
              <w:t xml:space="preserve">3–10 seconds typical</w:t>
            </w:r>
          </w:p>
        </w:tc>
        <w:tc>
          <w:tcPr>
            <w:tcW w:type="dxa" w:w="3600"/>
            <w:shd w:fill="F2F2F2" w:val="clear"/>
            <w:tcMar>
              <w:top w:type="dxa" w:w="100"/>
              <w:left w:type="dxa" w:w="150"/>
              <w:bottom w:type="dxa" w:w="100"/>
              <w:right w:type="dxa" w:w="150"/>
            </w:tcMar>
            <w:vAlign w:val="center"/>
          </w:tcPr>
          <w:p>
            <w:r>
              <w:rPr>
                <w:rFonts w:ascii="Calibri" w:cs="Calibri" w:eastAsia="Calibri" w:hAnsi="Calibri"/>
                <w:sz w:val="20"/>
                <w:szCs w:val="20"/>
              </w:rPr>
              <w:t xml:space="preserve">Model selection (Haiku vs. Sonnet) is the primary latency lever</w:t>
            </w:r>
          </w:p>
        </w:tc>
      </w:tr>
      <w:tr>
        <w:tc>
          <w:tcPr>
            <w:tcW w:type="dxa" w:w="2600"/>
            <w:shd w:fill="FFFFFF" w:val="clear"/>
            <w:tcMar>
              <w:top w:type="dxa" w:w="100"/>
              <w:left w:type="dxa" w:w="150"/>
              <w:bottom w:type="dxa" w:w="100"/>
              <w:right w:type="dxa" w:w="150"/>
            </w:tcMar>
            <w:vAlign w:val="center"/>
          </w:tcPr>
          <w:p>
            <w:r>
              <w:rPr>
                <w:rFonts w:ascii="Calibri" w:cs="Calibri" w:eastAsia="Calibri" w:hAnsi="Calibri"/>
                <w:sz w:val="20"/>
                <w:szCs w:val="20"/>
              </w:rPr>
              <w:t xml:space="preserve">Network / infrastructure overhead</w:t>
            </w:r>
          </w:p>
        </w:tc>
        <w:tc>
          <w:tcPr>
            <w:tcW w:type="dxa" w:w="2800"/>
            <w:shd w:fill="FFFFFF" w:val="clear"/>
            <w:tcMar>
              <w:top w:type="dxa" w:w="100"/>
              <w:left w:type="dxa" w:w="150"/>
              <w:bottom w:type="dxa" w:w="100"/>
              <w:right w:type="dxa" w:w="150"/>
            </w:tcMar>
            <w:vAlign w:val="center"/>
          </w:tcPr>
          <w:p>
            <w:r>
              <w:rPr>
                <w:rFonts w:ascii="Calibri" w:cs="Calibri" w:eastAsia="Calibri" w:hAnsi="Calibri"/>
                <w:sz w:val="20"/>
                <w:szCs w:val="20"/>
              </w:rPr>
              <w:t xml:space="preserve">&lt; 500 ms typical</w:t>
            </w:r>
          </w:p>
        </w:tc>
        <w:tc>
          <w:tcPr>
            <w:tcW w:type="dxa" w:w="3600"/>
            <w:shd w:fill="FFFFFF" w:val="clear"/>
            <w:tcMar>
              <w:top w:type="dxa" w:w="100"/>
              <w:left w:type="dxa" w:w="150"/>
              <w:bottom w:type="dxa" w:w="100"/>
              <w:right w:type="dxa" w:w="150"/>
            </w:tcMar>
            <w:vAlign w:val="center"/>
          </w:tcPr>
          <w:p>
            <w:r>
              <w:rPr>
                <w:rFonts w:ascii="Calibri" w:cs="Calibri" w:eastAsia="Calibri" w:hAnsi="Calibri"/>
                <w:sz w:val="20"/>
                <w:szCs w:val="20"/>
              </w:rPr>
              <w:t xml:space="preserve">Cloud Run cold starts mitigated via minimum instance configuration</w:t>
            </w:r>
          </w:p>
        </w:tc>
      </w:tr>
    </w:tbl>
    <w:p>
      <w:pPr>
        <w:spacing w:after="200" w:line="276"/>
      </w:pPr>
      <w:r>
        <w:rPr>
          <w:rFonts w:ascii="Calibri" w:cs="Calibri" w:eastAsia="Calibri" w:hAnsi="Calibri"/>
          <w:sz w:val="22"/>
          <w:szCs w:val="22"/>
        </w:rPr>
        <w:t xml:space="preserve">Caching opportunity: frequently repeated questions (e.g., "how many days of maternity leave") are strong candidates for response caching keyed on normalized query text, reducing both latency and Claude API cost for high-frequency queries without compromising grounding integrity, since the underlying retrieved context for a fixed question against a fixed corpus does not change.</w:t>
      </w:r>
    </w:p>
    <w:p>
      <w:pPr>
        <w:pStyle w:val="Heading1"/>
        <w:pageBreakBefore/>
        <w:spacing w:after="240" w:before="480"/>
      </w:pPr>
      <w:r>
        <w:t xml:space="preserve">23. Cost Analysis</w:t>
      </w:r>
    </w:p>
    <w:p>
      <w:pPr>
        <w:spacing w:after="200" w:line="276"/>
      </w:pPr>
      <w:r>
        <w:rPr>
          <w:rFonts w:ascii="Calibri" w:cs="Calibri" w:eastAsia="Calibri" w:hAnsi="Calibri"/>
          <w:sz w:val="22"/>
          <w:szCs w:val="22"/>
        </w:rPr>
        <w:t xml:space="preserve">The following estimates assume moderate optimization (model selection appropriate to query complexity, no unnecessary redundant API calls) and are indicative rather than contractual. Actual costs depend on realized query volume, average conversation length, and chosen Claude model tier.</w:t>
      </w:r>
    </w:p>
    <w:p>
      <w:pPr>
        <w:pStyle w:val="Heading2"/>
        <w:spacing w:after="160" w:before="320"/>
      </w:pPr>
      <w:r>
        <w:t xml:space="preserve">23.1 Assumptions</w:t>
      </w:r>
    </w:p>
    <w:p>
      <w:pPr>
        <w:pStyle w:val="ListParagraph"/>
        <w:numPr>
          <w:ilvl w:val="0"/>
          <w:numId w:val="2"/>
        </w:numPr>
        <w:spacing w:after="100"/>
      </w:pPr>
      <w:r>
        <w:rPr>
          <w:rFonts w:ascii="Calibri" w:cs="Calibri" w:eastAsia="Calibri" w:hAnsi="Calibri"/>
          <w:sz w:val="22"/>
          <w:szCs w:val="22"/>
        </w:rPr>
        <w:t xml:space="preserve">Average query consumes approximately 1,500–2,500 input tokens (system prompt + retrieved context + question) and 200–400 output tokens per Claude call.</w:t>
      </w:r>
    </w:p>
    <w:p>
      <w:pPr>
        <w:pStyle w:val="ListParagraph"/>
        <w:numPr>
          <w:ilvl w:val="0"/>
          <w:numId w:val="2"/>
        </w:numPr>
        <w:spacing w:after="100"/>
      </w:pPr>
      <w:r>
        <w:rPr>
          <w:rFonts w:ascii="Calibri" w:cs="Calibri" w:eastAsia="Calibri" w:hAnsi="Calibri"/>
          <w:sz w:val="22"/>
          <w:szCs w:val="22"/>
        </w:rPr>
        <w:t xml:space="preserve">Each user turn may trigger up to two Claude calls (query rewriting + final generation) when conversation history exists.</w:t>
      </w:r>
    </w:p>
    <w:p>
      <w:pPr>
        <w:pStyle w:val="ListParagraph"/>
        <w:numPr>
          <w:ilvl w:val="0"/>
          <w:numId w:val="2"/>
        </w:numPr>
        <w:spacing w:after="100"/>
      </w:pPr>
      <w:r>
        <w:rPr>
          <w:rFonts w:ascii="Calibri" w:cs="Calibri" w:eastAsia="Calibri" w:hAnsi="Calibri"/>
          <w:sz w:val="22"/>
          <w:szCs w:val="22"/>
        </w:rPr>
        <w:t xml:space="preserve">Cloud Run billed per vCPU-second and memory-second of active request handling, with scale-to-zero during idle periods.</w:t>
      </w:r>
    </w:p>
    <w:p>
      <w:pPr>
        <w:pStyle w:val="Heading2"/>
        <w:spacing w:after="160" w:before="320"/>
      </w:pPr>
      <w:r>
        <w:t xml:space="preserve">23.2 Estimated Monthly Cost by Firm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600"/>
        <w:gridCol w:w="1900"/>
        <w:gridCol w:w="1900"/>
      </w:tblGrid>
      <w:tr>
        <w:trPr>
          <w:tblHeader/>
        </w:trPr>
        <w:tc>
          <w:tcPr>
            <w:tcW w:type="dxa" w:w="15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Firm Size</w:t>
            </w:r>
          </w:p>
        </w:tc>
        <w:tc>
          <w:tcPr>
            <w:tcW w:type="dxa" w:w="15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Est. Monthly Queries</w:t>
            </w:r>
          </w:p>
        </w:tc>
        <w:tc>
          <w:tcPr>
            <w:tcW w:type="dxa" w:w="16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Claude API</w:t>
            </w:r>
          </w:p>
        </w:tc>
        <w:tc>
          <w:tcPr>
            <w:tcW w:type="dxa" w:w="16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Cloud Run</w:t>
            </w:r>
          </w:p>
        </w:tc>
        <w:tc>
          <w:tcPr>
            <w:tcW w:type="dxa" w:w="19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Storage / Domain</w:t>
            </w:r>
          </w:p>
        </w:tc>
        <w:tc>
          <w:tcPr>
            <w:tcW w:type="dxa" w:w="19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Est. Total / Month</w:t>
            </w:r>
          </w:p>
        </w:tc>
      </w:tr>
      <w:tr>
        <w:tc>
          <w:tcPr>
            <w:tcW w:type="dxa" w:w="1500"/>
            <w:shd w:fill="FFFFFF" w:val="clear"/>
            <w:tcMar>
              <w:top w:type="dxa" w:w="100"/>
              <w:left w:type="dxa" w:w="150"/>
              <w:bottom w:type="dxa" w:w="100"/>
              <w:right w:type="dxa" w:w="150"/>
            </w:tcMar>
            <w:vAlign w:val="center"/>
          </w:tcPr>
          <w:p>
            <w:r>
              <w:rPr>
                <w:rFonts w:ascii="Calibri" w:cs="Calibri" w:eastAsia="Calibri" w:hAnsi="Calibri"/>
                <w:sz w:val="20"/>
                <w:szCs w:val="20"/>
              </w:rPr>
              <w:t xml:space="preserve">Small firm</w:t>
            </w:r>
          </w:p>
        </w:tc>
        <w:tc>
          <w:tcPr>
            <w:tcW w:type="dxa" w:w="1500"/>
            <w:shd w:fill="FFFFFF" w:val="clear"/>
            <w:tcMar>
              <w:top w:type="dxa" w:w="100"/>
              <w:left w:type="dxa" w:w="150"/>
              <w:bottom w:type="dxa" w:w="100"/>
              <w:right w:type="dxa" w:w="150"/>
            </w:tcMar>
            <w:vAlign w:val="center"/>
          </w:tcPr>
          <w:p>
            <w:r>
              <w:rPr>
                <w:rFonts w:ascii="Calibri" w:cs="Calibri" w:eastAsia="Calibri" w:hAnsi="Calibri"/>
                <w:sz w:val="20"/>
                <w:szCs w:val="20"/>
              </w:rPr>
              <w:t xml:space="preserve">~2,000</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$25 – $45</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$5 – $15 (largely scale-to-zero)</w:t>
            </w:r>
          </w:p>
        </w:tc>
        <w:tc>
          <w:tcPr>
            <w:tcW w:type="dxa" w:w="1900"/>
            <w:shd w:fill="FFFFFF" w:val="clear"/>
            <w:tcMar>
              <w:top w:type="dxa" w:w="100"/>
              <w:left w:type="dxa" w:w="150"/>
              <w:bottom w:type="dxa" w:w="100"/>
              <w:right w:type="dxa" w:w="150"/>
            </w:tcMar>
            <w:vAlign w:val="center"/>
          </w:tcPr>
          <w:p>
            <w:r>
              <w:rPr>
                <w:rFonts w:ascii="Calibri" w:cs="Calibri" w:eastAsia="Calibri" w:hAnsi="Calibri"/>
                <w:sz w:val="20"/>
                <w:szCs w:val="20"/>
              </w:rPr>
              <w:t xml:space="preserve">$5 – $10</w:t>
            </w:r>
          </w:p>
        </w:tc>
        <w:tc>
          <w:tcPr>
            <w:tcW w:type="dxa" w:w="1900"/>
            <w:shd w:fill="FFFFFF" w:val="clear"/>
            <w:tcMar>
              <w:top w:type="dxa" w:w="100"/>
              <w:left w:type="dxa" w:w="150"/>
              <w:bottom w:type="dxa" w:w="100"/>
              <w:right w:type="dxa" w:w="150"/>
            </w:tcMar>
            <w:vAlign w:val="center"/>
          </w:tcPr>
          <w:p>
            <w:r>
              <w:rPr>
                <w:rFonts w:ascii="Calibri" w:cs="Calibri" w:eastAsia="Calibri" w:hAnsi="Calibri"/>
                <w:sz w:val="20"/>
                <w:szCs w:val="20"/>
              </w:rPr>
              <w:t xml:space="preserve">$35 – $70</w:t>
            </w:r>
          </w:p>
        </w:tc>
      </w:tr>
      <w:tr>
        <w:tc>
          <w:tcPr>
            <w:tcW w:type="dxa" w:w="1500"/>
            <w:shd w:fill="F2F2F2" w:val="clear"/>
            <w:tcMar>
              <w:top w:type="dxa" w:w="100"/>
              <w:left w:type="dxa" w:w="150"/>
              <w:bottom w:type="dxa" w:w="100"/>
              <w:right w:type="dxa" w:w="150"/>
            </w:tcMar>
            <w:vAlign w:val="center"/>
          </w:tcPr>
          <w:p>
            <w:r>
              <w:rPr>
                <w:rFonts w:ascii="Calibri" w:cs="Calibri" w:eastAsia="Calibri" w:hAnsi="Calibri"/>
                <w:sz w:val="20"/>
                <w:szCs w:val="20"/>
              </w:rPr>
              <w:t xml:space="preserve">Medium firm</w:t>
            </w:r>
          </w:p>
        </w:tc>
        <w:tc>
          <w:tcPr>
            <w:tcW w:type="dxa" w:w="1500"/>
            <w:shd w:fill="F2F2F2" w:val="clear"/>
            <w:tcMar>
              <w:top w:type="dxa" w:w="100"/>
              <w:left w:type="dxa" w:w="150"/>
              <w:bottom w:type="dxa" w:w="100"/>
              <w:right w:type="dxa" w:w="150"/>
            </w:tcMar>
            <w:vAlign w:val="center"/>
          </w:tcPr>
          <w:p>
            <w:r>
              <w:rPr>
                <w:rFonts w:ascii="Calibri" w:cs="Calibri" w:eastAsia="Calibri" w:hAnsi="Calibri"/>
                <w:sz w:val="20"/>
                <w:szCs w:val="20"/>
              </w:rPr>
              <w:t xml:space="preserve">~15,000</w:t>
            </w:r>
          </w:p>
        </w:tc>
        <w:tc>
          <w:tcPr>
            <w:tcW w:type="dxa" w:w="1600"/>
            <w:shd w:fill="F2F2F2" w:val="clear"/>
            <w:tcMar>
              <w:top w:type="dxa" w:w="100"/>
              <w:left w:type="dxa" w:w="150"/>
              <w:bottom w:type="dxa" w:w="100"/>
              <w:right w:type="dxa" w:w="150"/>
            </w:tcMar>
            <w:vAlign w:val="center"/>
          </w:tcPr>
          <w:p>
            <w:r>
              <w:rPr>
                <w:rFonts w:ascii="Calibri" w:cs="Calibri" w:eastAsia="Calibri" w:hAnsi="Calibri"/>
                <w:sz w:val="20"/>
                <w:szCs w:val="20"/>
              </w:rPr>
              <w:t xml:space="preserve">$180 – $320</w:t>
            </w:r>
          </w:p>
        </w:tc>
        <w:tc>
          <w:tcPr>
            <w:tcW w:type="dxa" w:w="1600"/>
            <w:shd w:fill="F2F2F2" w:val="clear"/>
            <w:tcMar>
              <w:top w:type="dxa" w:w="100"/>
              <w:left w:type="dxa" w:w="150"/>
              <w:bottom w:type="dxa" w:w="100"/>
              <w:right w:type="dxa" w:w="150"/>
            </w:tcMar>
            <w:vAlign w:val="center"/>
          </w:tcPr>
          <w:p>
            <w:r>
              <w:rPr>
                <w:rFonts w:ascii="Calibri" w:cs="Calibri" w:eastAsia="Calibri" w:hAnsi="Calibri"/>
                <w:sz w:val="20"/>
                <w:szCs w:val="20"/>
              </w:rPr>
              <w:t xml:space="preserve">$30 – $60</w:t>
            </w:r>
          </w:p>
        </w:tc>
        <w:tc>
          <w:tcPr>
            <w:tcW w:type="dxa" w:w="1900"/>
            <w:shd w:fill="F2F2F2" w:val="clear"/>
            <w:tcMar>
              <w:top w:type="dxa" w:w="100"/>
              <w:left w:type="dxa" w:w="150"/>
              <w:bottom w:type="dxa" w:w="100"/>
              <w:right w:type="dxa" w:w="150"/>
            </w:tcMar>
            <w:vAlign w:val="center"/>
          </w:tcPr>
          <w:p>
            <w:r>
              <w:rPr>
                <w:rFonts w:ascii="Calibri" w:cs="Calibri" w:eastAsia="Calibri" w:hAnsi="Calibri"/>
                <w:sz w:val="20"/>
                <w:szCs w:val="20"/>
              </w:rPr>
              <w:t xml:space="preserve">$10 – $20</w:t>
            </w:r>
          </w:p>
        </w:tc>
        <w:tc>
          <w:tcPr>
            <w:tcW w:type="dxa" w:w="1900"/>
            <w:shd w:fill="F2F2F2" w:val="clear"/>
            <w:tcMar>
              <w:top w:type="dxa" w:w="100"/>
              <w:left w:type="dxa" w:w="150"/>
              <w:bottom w:type="dxa" w:w="100"/>
              <w:right w:type="dxa" w:w="150"/>
            </w:tcMar>
            <w:vAlign w:val="center"/>
          </w:tcPr>
          <w:p>
            <w:r>
              <w:rPr>
                <w:rFonts w:ascii="Calibri" w:cs="Calibri" w:eastAsia="Calibri" w:hAnsi="Calibri"/>
                <w:sz w:val="20"/>
                <w:szCs w:val="20"/>
              </w:rPr>
              <w:t xml:space="preserve">$220 – $400</w:t>
            </w:r>
          </w:p>
        </w:tc>
      </w:tr>
      <w:tr>
        <w:tc>
          <w:tcPr>
            <w:tcW w:type="dxa" w:w="1500"/>
            <w:shd w:fill="FFFFFF" w:val="clear"/>
            <w:tcMar>
              <w:top w:type="dxa" w:w="100"/>
              <w:left w:type="dxa" w:w="150"/>
              <w:bottom w:type="dxa" w:w="100"/>
              <w:right w:type="dxa" w:w="150"/>
            </w:tcMar>
            <w:vAlign w:val="center"/>
          </w:tcPr>
          <w:p>
            <w:r>
              <w:rPr>
                <w:rFonts w:ascii="Calibri" w:cs="Calibri" w:eastAsia="Calibri" w:hAnsi="Calibri"/>
                <w:sz w:val="20"/>
                <w:szCs w:val="20"/>
              </w:rPr>
              <w:t xml:space="preserve">Large firm</w:t>
            </w:r>
          </w:p>
        </w:tc>
        <w:tc>
          <w:tcPr>
            <w:tcW w:type="dxa" w:w="1500"/>
            <w:shd w:fill="FFFFFF" w:val="clear"/>
            <w:tcMar>
              <w:top w:type="dxa" w:w="100"/>
              <w:left w:type="dxa" w:w="150"/>
              <w:bottom w:type="dxa" w:w="100"/>
              <w:right w:type="dxa" w:w="150"/>
            </w:tcMar>
            <w:vAlign w:val="center"/>
          </w:tcPr>
          <w:p>
            <w:r>
              <w:rPr>
                <w:rFonts w:ascii="Calibri" w:cs="Calibri" w:eastAsia="Calibri" w:hAnsi="Calibri"/>
                <w:sz w:val="20"/>
                <w:szCs w:val="20"/>
              </w:rPr>
              <w:t xml:space="preserve">~75,000</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$900 – $1,600</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$120 – $250</w:t>
            </w:r>
          </w:p>
        </w:tc>
        <w:tc>
          <w:tcPr>
            <w:tcW w:type="dxa" w:w="1900"/>
            <w:shd w:fill="FFFFFF" w:val="clear"/>
            <w:tcMar>
              <w:top w:type="dxa" w:w="100"/>
              <w:left w:type="dxa" w:w="150"/>
              <w:bottom w:type="dxa" w:w="100"/>
              <w:right w:type="dxa" w:w="150"/>
            </w:tcMar>
            <w:vAlign w:val="center"/>
          </w:tcPr>
          <w:p>
            <w:r>
              <w:rPr>
                <w:rFonts w:ascii="Calibri" w:cs="Calibri" w:eastAsia="Calibri" w:hAnsi="Calibri"/>
                <w:sz w:val="20"/>
                <w:szCs w:val="20"/>
              </w:rPr>
              <w:t xml:space="preserve">$20 – $40</w:t>
            </w:r>
          </w:p>
        </w:tc>
        <w:tc>
          <w:tcPr>
            <w:tcW w:type="dxa" w:w="1900"/>
            <w:shd w:fill="FFFFFF" w:val="clear"/>
            <w:tcMar>
              <w:top w:type="dxa" w:w="100"/>
              <w:left w:type="dxa" w:w="150"/>
              <w:bottom w:type="dxa" w:w="100"/>
              <w:right w:type="dxa" w:w="150"/>
            </w:tcMar>
            <w:vAlign w:val="center"/>
          </w:tcPr>
          <w:p>
            <w:r>
              <w:rPr>
                <w:rFonts w:ascii="Calibri" w:cs="Calibri" w:eastAsia="Calibri" w:hAnsi="Calibri"/>
                <w:sz w:val="20"/>
                <w:szCs w:val="20"/>
              </w:rPr>
              <w:t xml:space="preserve">$1,040 – $1,890</w:t>
            </w:r>
          </w:p>
        </w:tc>
      </w:tr>
    </w:tbl>
    <w:p>
      <w:pPr>
        <w:spacing w:after="300" w:before="100"/>
      </w:pPr>
      <w:r>
        <w:rPr>
          <w:rFonts w:ascii="Calibri" w:cs="Calibri" w:eastAsia="Calibri" w:hAnsi="Calibri"/>
          <w:i/>
          <w:iCs/>
          <w:color w:val="595959"/>
          <w:sz w:val="18"/>
          <w:szCs w:val="18"/>
        </w:rPr>
        <w:t xml:space="preserve">Table 23.1 — Indicative monthly operating cost ranges. Ranges reflect claude-sonnet-5 pricing at moderate usage; selecting claude-haiku-4-5 for routine queries can reduce Claude API cost materially, particularly at medium and large scale.</w:t>
      </w:r>
    </w:p>
    <w:p>
      <w:pPr>
        <w:spacing w:after="200" w:line="276"/>
      </w:pPr>
      <w:r>
        <w:rPr>
          <w:rFonts w:ascii="Calibri" w:cs="Calibri" w:eastAsia="Calibri" w:hAnsi="Calibri"/>
          <w:sz w:val="22"/>
          <w:szCs w:val="22"/>
        </w:rPr>
        <w:t xml:space="preserve">Domain registration is a fixed annual cost (typically $10–$20/year) amortized negligibly into the monthly figures above. Storage costs reflect Cloud Storage-backed ChromaDB persistence at the current corpus scale and grow slowly relative to query volume.</w:t>
      </w:r>
    </w:p>
    <w:p>
      <w:pPr>
        <w:pStyle w:val="Heading1"/>
        <w:pageBreakBefore/>
        <w:spacing w:after="240" w:before="480"/>
      </w:pPr>
      <w:r>
        <w:t xml:space="preserve">24. Future Improvements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00"/>
      </w:tblGrid>
      <w:tr>
        <w:trPr>
          <w:tblHeader/>
        </w:trPr>
        <w:tc>
          <w:tcPr>
            <w:tcW w:type="dxa" w:w="32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Improvement</w:t>
            </w:r>
          </w:p>
        </w:tc>
        <w:tc>
          <w:tcPr>
            <w:tcW w:type="dxa" w:w="42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Benefit</w:t>
            </w:r>
          </w:p>
        </w:tc>
        <w:tc>
          <w:tcPr>
            <w:tcW w:type="dxa" w:w="16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Relative Priority</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Hybrid search (BM25 + vector)</w:t>
            </w:r>
          </w:p>
        </w:tc>
        <w:tc>
          <w:tcPr>
            <w:tcW w:type="dxa" w:w="4200"/>
            <w:shd w:fill="FFFFFF" w:val="clear"/>
            <w:tcMar>
              <w:top w:type="dxa" w:w="100"/>
              <w:left w:type="dxa" w:w="150"/>
              <w:bottom w:type="dxa" w:w="100"/>
              <w:right w:type="dxa" w:w="150"/>
            </w:tcMar>
            <w:vAlign w:val="center"/>
          </w:tcPr>
          <w:p>
            <w:r>
              <w:rPr>
                <w:rFonts w:ascii="Calibri" w:cs="Calibri" w:eastAsia="Calibri" w:hAnsi="Calibri"/>
                <w:sz w:val="20"/>
                <w:szCs w:val="20"/>
              </w:rPr>
              <w:t xml:space="preserve">Recovers exact keyword/law-number matches that pure semantic search misses</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High</w:t>
            </w:r>
          </w:p>
        </w:tc>
      </w:tr>
      <w:tr>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Query expansion (legal synonym dictionary)</w:t>
            </w:r>
          </w:p>
        </w:tc>
        <w:tc>
          <w:tcPr>
            <w:tcW w:type="dxa" w:w="4200"/>
            <w:shd w:fill="F2F2F2" w:val="clear"/>
            <w:tcMar>
              <w:top w:type="dxa" w:w="100"/>
              <w:left w:type="dxa" w:w="150"/>
              <w:bottom w:type="dxa" w:w="100"/>
              <w:right w:type="dxa" w:w="150"/>
            </w:tcMar>
            <w:vAlign w:val="center"/>
          </w:tcPr>
          <w:p>
            <w:r>
              <w:rPr>
                <w:rFonts w:ascii="Calibri" w:cs="Calibri" w:eastAsia="Calibri" w:hAnsi="Calibri"/>
                <w:sz w:val="20"/>
                <w:szCs w:val="20"/>
              </w:rPr>
              <w:t xml:space="preserve">Bridges everyday phrasing and formal statutory language</w:t>
            </w:r>
          </w:p>
        </w:tc>
        <w:tc>
          <w:tcPr>
            <w:tcW w:type="dxa" w:w="1600"/>
            <w:shd w:fill="F2F2F2" w:val="clear"/>
            <w:tcMar>
              <w:top w:type="dxa" w:w="100"/>
              <w:left w:type="dxa" w:w="150"/>
              <w:bottom w:type="dxa" w:w="100"/>
              <w:right w:type="dxa" w:w="150"/>
            </w:tcMar>
            <w:vAlign w:val="center"/>
          </w:tcPr>
          <w:p>
            <w:r>
              <w:rPr>
                <w:rFonts w:ascii="Calibri" w:cs="Calibri" w:eastAsia="Calibri" w:hAnsi="Calibri"/>
                <w:sz w:val="20"/>
                <w:szCs w:val="20"/>
              </w:rPr>
              <w:t xml:space="preserve">High</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Metadata-enriched embeddings</w:t>
            </w:r>
          </w:p>
        </w:tc>
        <w:tc>
          <w:tcPr>
            <w:tcW w:type="dxa" w:w="4200"/>
            <w:shd w:fill="FFFFFF" w:val="clear"/>
            <w:tcMar>
              <w:top w:type="dxa" w:w="100"/>
              <w:left w:type="dxa" w:w="150"/>
              <w:bottom w:type="dxa" w:w="100"/>
              <w:right w:type="dxa" w:w="150"/>
            </w:tcMar>
            <w:vAlign w:val="center"/>
          </w:tcPr>
          <w:p>
            <w:r>
              <w:rPr>
                <w:rFonts w:ascii="Calibri" w:cs="Calibri" w:eastAsia="Calibri" w:hAnsi="Calibri"/>
                <w:sz w:val="20"/>
                <w:szCs w:val="20"/>
              </w:rPr>
              <w:t xml:space="preserve">Improves retrieval for law-number and title-based queries</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High</w:t>
            </w:r>
          </w:p>
        </w:tc>
      </w:tr>
      <w:tr>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Redis-backed session store</w:t>
            </w:r>
          </w:p>
        </w:tc>
        <w:tc>
          <w:tcPr>
            <w:tcW w:type="dxa" w:w="4200"/>
            <w:shd w:fill="F2F2F2" w:val="clear"/>
            <w:tcMar>
              <w:top w:type="dxa" w:w="100"/>
              <w:left w:type="dxa" w:w="150"/>
              <w:bottom w:type="dxa" w:w="100"/>
              <w:right w:type="dxa" w:w="150"/>
            </w:tcMar>
            <w:vAlign w:val="center"/>
          </w:tcPr>
          <w:p>
            <w:r>
              <w:rPr>
                <w:rFonts w:ascii="Calibri" w:cs="Calibri" w:eastAsia="Calibri" w:hAnsi="Calibri"/>
                <w:sz w:val="20"/>
                <w:szCs w:val="20"/>
              </w:rPr>
              <w:t xml:space="preserve">Removes the in-memory session scaling constraint noted in Section 21</w:t>
            </w:r>
          </w:p>
        </w:tc>
        <w:tc>
          <w:tcPr>
            <w:tcW w:type="dxa" w:w="1600"/>
            <w:shd w:fill="F2F2F2" w:val="clear"/>
            <w:tcMar>
              <w:top w:type="dxa" w:w="100"/>
              <w:left w:type="dxa" w:w="150"/>
              <w:bottom w:type="dxa" w:w="100"/>
              <w:right w:type="dxa" w:w="150"/>
            </w:tcMar>
            <w:vAlign w:val="center"/>
          </w:tcPr>
          <w:p>
            <w:r>
              <w:rPr>
                <w:rFonts w:ascii="Calibri" w:cs="Calibri" w:eastAsia="Calibri" w:hAnsi="Calibri"/>
                <w:sz w:val="20"/>
                <w:szCs w:val="20"/>
              </w:rPr>
              <w:t xml:space="preserve">High</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Better chunking (structural refinement)</w:t>
            </w:r>
          </w:p>
        </w:tc>
        <w:tc>
          <w:tcPr>
            <w:tcW w:type="dxa" w:w="4200"/>
            <w:shd w:fill="FFFFFF" w:val="clear"/>
            <w:tcMar>
              <w:top w:type="dxa" w:w="100"/>
              <w:left w:type="dxa" w:w="150"/>
              <w:bottom w:type="dxa" w:w="100"/>
              <w:right w:type="dxa" w:w="150"/>
            </w:tcMar>
            <w:vAlign w:val="center"/>
          </w:tcPr>
          <w:p>
            <w:r>
              <w:rPr>
                <w:rFonts w:ascii="Calibri" w:cs="Calibri" w:eastAsia="Calibri" w:hAnsi="Calibri"/>
                <w:sz w:val="20"/>
                <w:szCs w:val="20"/>
              </w:rPr>
              <w:t xml:space="preserve">Further reduces cross-provision ambiguity in retrieval</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Medium</w:t>
            </w:r>
          </w:p>
        </w:tc>
      </w:tr>
      <w:tr>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Authentication</w:t>
            </w:r>
          </w:p>
        </w:tc>
        <w:tc>
          <w:tcPr>
            <w:tcW w:type="dxa" w:w="4200"/>
            <w:shd w:fill="F2F2F2" w:val="clear"/>
            <w:tcMar>
              <w:top w:type="dxa" w:w="100"/>
              <w:left w:type="dxa" w:w="150"/>
              <w:bottom w:type="dxa" w:w="100"/>
              <w:right w:type="dxa" w:w="150"/>
            </w:tcMar>
            <w:vAlign w:val="center"/>
          </w:tcPr>
          <w:p>
            <w:r>
              <w:rPr>
                <w:rFonts w:ascii="Calibri" w:cs="Calibri" w:eastAsia="Calibri" w:hAnsi="Calibri"/>
                <w:sz w:val="20"/>
                <w:szCs w:val="20"/>
              </w:rPr>
              <w:t xml:space="preserve">Enables usage tracking, rate limiting per client, and access control for staff-only features</w:t>
            </w:r>
          </w:p>
        </w:tc>
        <w:tc>
          <w:tcPr>
            <w:tcW w:type="dxa" w:w="1600"/>
            <w:shd w:fill="F2F2F2" w:val="clear"/>
            <w:tcMar>
              <w:top w:type="dxa" w:w="100"/>
              <w:left w:type="dxa" w:w="150"/>
              <w:bottom w:type="dxa" w:w="100"/>
              <w:right w:type="dxa" w:w="150"/>
            </w:tcMar>
            <w:vAlign w:val="center"/>
          </w:tcPr>
          <w:p>
            <w:r>
              <w:rPr>
                <w:rFonts w:ascii="Calibri" w:cs="Calibri" w:eastAsia="Calibri" w:hAnsi="Calibri"/>
                <w:sz w:val="20"/>
                <w:szCs w:val="20"/>
              </w:rPr>
              <w:t xml:space="preserve">Medium</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Analytics dashboard</w:t>
            </w:r>
          </w:p>
        </w:tc>
        <w:tc>
          <w:tcPr>
            <w:tcW w:type="dxa" w:w="4200"/>
            <w:shd w:fill="FFFFFF" w:val="clear"/>
            <w:tcMar>
              <w:top w:type="dxa" w:w="100"/>
              <w:left w:type="dxa" w:w="150"/>
              <w:bottom w:type="dxa" w:w="100"/>
              <w:right w:type="dxa" w:w="150"/>
            </w:tcMar>
            <w:vAlign w:val="center"/>
          </w:tcPr>
          <w:p>
            <w:r>
              <w:rPr>
                <w:rFonts w:ascii="Calibri" w:cs="Calibri" w:eastAsia="Calibri" w:hAnsi="Calibri"/>
                <w:sz w:val="20"/>
                <w:szCs w:val="20"/>
              </w:rPr>
              <w:t xml:space="preserve">Visibility into query patterns, refusal rate, and corpus coverage gaps</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Medium</w:t>
            </w:r>
          </w:p>
        </w:tc>
      </w:tr>
      <w:tr>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Admin panel for corpus management</w:t>
            </w:r>
          </w:p>
        </w:tc>
        <w:tc>
          <w:tcPr>
            <w:tcW w:type="dxa" w:w="4200"/>
            <w:shd w:fill="F2F2F2" w:val="clear"/>
            <w:tcMar>
              <w:top w:type="dxa" w:w="100"/>
              <w:left w:type="dxa" w:w="150"/>
              <w:bottom w:type="dxa" w:w="100"/>
              <w:right w:type="dxa" w:w="150"/>
            </w:tcMar>
            <w:vAlign w:val="center"/>
          </w:tcPr>
          <w:p>
            <w:r>
              <w:rPr>
                <w:rFonts w:ascii="Calibri" w:cs="Calibri" w:eastAsia="Calibri" w:hAnsi="Calibri"/>
                <w:sz w:val="20"/>
                <w:szCs w:val="20"/>
              </w:rPr>
              <w:t xml:space="preserve">Allows non-technical staff to add/update documents without engineering involvement</w:t>
            </w:r>
          </w:p>
        </w:tc>
        <w:tc>
          <w:tcPr>
            <w:tcW w:type="dxa" w:w="1600"/>
            <w:shd w:fill="F2F2F2" w:val="clear"/>
            <w:tcMar>
              <w:top w:type="dxa" w:w="100"/>
              <w:left w:type="dxa" w:w="150"/>
              <w:bottom w:type="dxa" w:w="100"/>
              <w:right w:type="dxa" w:w="150"/>
            </w:tcMar>
            <w:vAlign w:val="center"/>
          </w:tcPr>
          <w:p>
            <w:r>
              <w:rPr>
                <w:rFonts w:ascii="Calibri" w:cs="Calibri" w:eastAsia="Calibri" w:hAnsi="Calibri"/>
                <w:sz w:val="20"/>
                <w:szCs w:val="20"/>
              </w:rPr>
              <w:t xml:space="preserve">Medium</w:t>
            </w:r>
          </w:p>
        </w:tc>
      </w:tr>
      <w:tr>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Feedback collection</w:t>
            </w:r>
          </w:p>
        </w:tc>
        <w:tc>
          <w:tcPr>
            <w:tcW w:type="dxa" w:w="4200"/>
            <w:shd w:fill="FFFFFF" w:val="clear"/>
            <w:tcMar>
              <w:top w:type="dxa" w:w="100"/>
              <w:left w:type="dxa" w:w="150"/>
              <w:bottom w:type="dxa" w:w="100"/>
              <w:right w:type="dxa" w:w="150"/>
            </w:tcMar>
            <w:vAlign w:val="center"/>
          </w:tcPr>
          <w:p>
            <w:r>
              <w:rPr>
                <w:rFonts w:ascii="Calibri" w:cs="Calibri" w:eastAsia="Calibri" w:hAnsi="Calibri"/>
                <w:sz w:val="20"/>
                <w:szCs w:val="20"/>
              </w:rPr>
              <w:t xml:space="preserve">Structured signal for identifying retrieval or generation quality issues over time</w:t>
            </w:r>
          </w:p>
        </w:tc>
        <w:tc>
          <w:tcPr>
            <w:tcW w:type="dxa" w:w="1600"/>
            <w:shd w:fill="FFFFFF" w:val="clear"/>
            <w:tcMar>
              <w:top w:type="dxa" w:w="100"/>
              <w:left w:type="dxa" w:w="150"/>
              <w:bottom w:type="dxa" w:w="100"/>
              <w:right w:type="dxa" w:w="150"/>
            </w:tcMar>
            <w:vAlign w:val="center"/>
          </w:tcPr>
          <w:p>
            <w:r>
              <w:rPr>
                <w:rFonts w:ascii="Calibri" w:cs="Calibri" w:eastAsia="Calibri" w:hAnsi="Calibri"/>
                <w:sz w:val="20"/>
                <w:szCs w:val="20"/>
              </w:rPr>
              <w:t xml:space="preserve">Medium</w:t>
            </w:r>
          </w:p>
        </w:tc>
      </w:tr>
      <w:tr>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Multilingual support (Filipino / Taglish)</w:t>
            </w:r>
          </w:p>
        </w:tc>
        <w:tc>
          <w:tcPr>
            <w:tcW w:type="dxa" w:w="4200"/>
            <w:shd w:fill="F2F2F2" w:val="clear"/>
            <w:tcMar>
              <w:top w:type="dxa" w:w="100"/>
              <w:left w:type="dxa" w:w="150"/>
              <w:bottom w:type="dxa" w:w="100"/>
              <w:right w:type="dxa" w:w="150"/>
            </w:tcMar>
            <w:vAlign w:val="center"/>
          </w:tcPr>
          <w:p>
            <w:r>
              <w:rPr>
                <w:rFonts w:ascii="Calibri" w:cs="Calibri" w:eastAsia="Calibri" w:hAnsi="Calibri"/>
                <w:sz w:val="20"/>
                <w:szCs w:val="20"/>
              </w:rPr>
              <w:t xml:space="preserve">Broadens accessibility for clients more comfortable outside English</w:t>
            </w:r>
          </w:p>
        </w:tc>
        <w:tc>
          <w:tcPr>
            <w:tcW w:type="dxa" w:w="1600"/>
            <w:shd w:fill="F2F2F2" w:val="clear"/>
            <w:tcMar>
              <w:top w:type="dxa" w:w="100"/>
              <w:left w:type="dxa" w:w="150"/>
              <w:bottom w:type="dxa" w:w="100"/>
              <w:right w:type="dxa" w:w="150"/>
            </w:tcMar>
            <w:vAlign w:val="center"/>
          </w:tcPr>
          <w:p>
            <w:r>
              <w:rPr>
                <w:rFonts w:ascii="Calibri" w:cs="Calibri" w:eastAsia="Calibri" w:hAnsi="Calibri"/>
                <w:sz w:val="20"/>
                <w:szCs w:val="20"/>
              </w:rPr>
              <w:t xml:space="preserve">Lower</w:t>
            </w:r>
          </w:p>
        </w:tc>
      </w:tr>
    </w:tbl>
    <w:p>
      <w:pPr>
        <w:pStyle w:val="Heading1"/>
        <w:pageBreakBefore/>
        <w:spacing w:after="240" w:before="480"/>
      </w:pPr>
      <w:r>
        <w:t xml:space="preserve">25. Risks and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Risk / Limitation</w:t>
            </w:r>
          </w:p>
        </w:tc>
        <w:tc>
          <w:tcPr>
            <w:tcW w:type="dxa" w:w="32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Impact</w:t>
            </w:r>
          </w:p>
        </w:tc>
        <w:tc>
          <w:tcPr>
            <w:tcW w:type="dxa" w:w="3400"/>
            <w:shd w:fill="1F3864" w:val="clear"/>
            <w:tcMar>
              <w:top w:type="dxa" w:w="120"/>
              <w:left w:type="dxa" w:w="150"/>
              <w:bottom w:type="dxa" w:w="120"/>
              <w:right w:type="dxa" w:w="150"/>
            </w:tcMar>
            <w:vAlign w:val="center"/>
          </w:tcPr>
          <w:p>
            <w:r>
              <w:rPr>
                <w:rFonts w:ascii="Calibri" w:cs="Calibri" w:eastAsia="Calibri" w:hAnsi="Calibri"/>
                <w:b/>
                <w:bCs/>
                <w:color w:val="FFFFFF"/>
                <w:sz w:val="20"/>
                <w:szCs w:val="20"/>
              </w:rPr>
              <w:t xml:space="preserve">Mitigation</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Corpus incompleteness</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System may refuse to answer questions on genuinely valid but unindexed topics</w:t>
            </w:r>
          </w:p>
        </w:tc>
        <w:tc>
          <w:tcPr>
            <w:tcW w:type="dxa" w:w="3400"/>
            <w:shd w:fill="FFFFFF" w:val="clear"/>
            <w:tcMar>
              <w:top w:type="dxa" w:w="100"/>
              <w:left w:type="dxa" w:w="150"/>
              <w:bottom w:type="dxa" w:w="100"/>
              <w:right w:type="dxa" w:w="150"/>
            </w:tcMar>
            <w:vAlign w:val="center"/>
          </w:tcPr>
          <w:p>
            <w:r>
              <w:rPr>
                <w:rFonts w:ascii="Calibri" w:cs="Calibri" w:eastAsia="Calibri" w:hAnsi="Calibri"/>
                <w:sz w:val="20"/>
                <w:szCs w:val="20"/>
              </w:rPr>
              <w:t xml:space="preserve">Prioritized document expansion roadmap; refusal is the safe default, not a silent gap</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Retrieval phrasing sensitivity</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Casually-phrased in-domain questions may occasionally fail to retrieve</w:t>
            </w:r>
          </w:p>
        </w:tc>
        <w:tc>
          <w:tcPr>
            <w:tcW w:type="dxa" w:w="3400"/>
            <w:shd w:fill="F2F2F2" w:val="clear"/>
            <w:tcMar>
              <w:top w:type="dxa" w:w="100"/>
              <w:left w:type="dxa" w:w="150"/>
              <w:bottom w:type="dxa" w:w="100"/>
              <w:right w:type="dxa" w:w="150"/>
            </w:tcMar>
            <w:vAlign w:val="center"/>
          </w:tcPr>
          <w:p>
            <w:r>
              <w:rPr>
                <w:rFonts w:ascii="Calibri" w:cs="Calibri" w:eastAsia="Calibri" w:hAnsi="Calibri"/>
                <w:sz w:val="20"/>
                <w:szCs w:val="20"/>
              </w:rPr>
              <w:t xml:space="preserve">Query expansion and hybrid search (Section 24)</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External API dependency</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Claude API outage or latency directly affects system availability</w:t>
            </w:r>
          </w:p>
        </w:tc>
        <w:tc>
          <w:tcPr>
            <w:tcW w:type="dxa" w:w="3400"/>
            <w:shd w:fill="FFFFFF" w:val="clear"/>
            <w:tcMar>
              <w:top w:type="dxa" w:w="100"/>
              <w:left w:type="dxa" w:w="150"/>
              <w:bottom w:type="dxa" w:w="100"/>
              <w:right w:type="dxa" w:w="150"/>
            </w:tcMar>
            <w:vAlign w:val="center"/>
          </w:tcPr>
          <w:p>
            <w:r>
              <w:rPr>
                <w:rFonts w:ascii="Calibri" w:cs="Calibri" w:eastAsia="Calibri" w:hAnsi="Calibri"/>
                <w:sz w:val="20"/>
                <w:szCs w:val="20"/>
              </w:rPr>
              <w:t xml:space="preserve">Graceful error handling; consider a fallback provider path for future resilience</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In-memory session state</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Multi-instance deployment risks losing conversation continuity for a user</w:t>
            </w:r>
          </w:p>
        </w:tc>
        <w:tc>
          <w:tcPr>
            <w:tcW w:type="dxa" w:w="3400"/>
            <w:shd w:fill="F2F2F2" w:val="clear"/>
            <w:tcMar>
              <w:top w:type="dxa" w:w="100"/>
              <w:left w:type="dxa" w:w="150"/>
              <w:bottom w:type="dxa" w:w="100"/>
              <w:right w:type="dxa" w:w="150"/>
            </w:tcMar>
            <w:vAlign w:val="center"/>
          </w:tcPr>
          <w:p>
            <w:r>
              <w:rPr>
                <w:rFonts w:ascii="Calibri" w:cs="Calibri" w:eastAsia="Calibri" w:hAnsi="Calibri"/>
                <w:sz w:val="20"/>
                <w:szCs w:val="20"/>
              </w:rPr>
              <w:t xml:space="preserve">Redis-backed session store (Section 24, high priority)</w:t>
            </w:r>
          </w:p>
        </w:tc>
      </w:tr>
      <w:tr>
        <w:tc>
          <w:tcPr>
            <w:tcW w:type="dxa" w:w="2400"/>
            <w:shd w:fill="FFFFFF" w:val="clear"/>
            <w:tcMar>
              <w:top w:type="dxa" w:w="100"/>
              <w:left w:type="dxa" w:w="150"/>
              <w:bottom w:type="dxa" w:w="100"/>
              <w:right w:type="dxa" w:w="150"/>
            </w:tcMar>
            <w:vAlign w:val="center"/>
          </w:tcPr>
          <w:p>
            <w:r>
              <w:rPr>
                <w:rFonts w:ascii="Calibri" w:cs="Calibri" w:eastAsia="Calibri" w:hAnsi="Calibri"/>
                <w:sz w:val="20"/>
                <w:szCs w:val="20"/>
              </w:rPr>
              <w:t xml:space="preserve">Not a substitute for legal advice</w:t>
            </w:r>
          </w:p>
        </w:tc>
        <w:tc>
          <w:tcPr>
            <w:tcW w:type="dxa" w:w="3200"/>
            <w:shd w:fill="FFFFFF" w:val="clear"/>
            <w:tcMar>
              <w:top w:type="dxa" w:w="100"/>
              <w:left w:type="dxa" w:w="150"/>
              <w:bottom w:type="dxa" w:w="100"/>
              <w:right w:type="dxa" w:w="150"/>
            </w:tcMar>
            <w:vAlign w:val="center"/>
          </w:tcPr>
          <w:p>
            <w:r>
              <w:rPr>
                <w:rFonts w:ascii="Calibri" w:cs="Calibri" w:eastAsia="Calibri" w:hAnsi="Calibri"/>
                <w:sz w:val="20"/>
                <w:szCs w:val="20"/>
              </w:rPr>
              <w:t xml:space="preserve">Users may over-rely on system output for consequential decisions</w:t>
            </w:r>
          </w:p>
        </w:tc>
        <w:tc>
          <w:tcPr>
            <w:tcW w:type="dxa" w:w="3400"/>
            <w:shd w:fill="FFFFFF" w:val="clear"/>
            <w:tcMar>
              <w:top w:type="dxa" w:w="100"/>
              <w:left w:type="dxa" w:w="150"/>
              <w:bottom w:type="dxa" w:w="100"/>
              <w:right w:type="dxa" w:w="150"/>
            </w:tcMar>
            <w:vAlign w:val="center"/>
          </w:tcPr>
          <w:p>
            <w:r>
              <w:rPr>
                <w:rFonts w:ascii="Calibri" w:cs="Calibri" w:eastAsia="Calibri" w:hAnsi="Calibri"/>
                <w:sz w:val="20"/>
                <w:szCs w:val="20"/>
              </w:rPr>
              <w:t xml:space="preserve">Clear UI disclaimers; explicit system framing as an information tool, not counsel</w:t>
            </w:r>
          </w:p>
        </w:tc>
      </w:tr>
      <w:tr>
        <w:tc>
          <w:tcPr>
            <w:tcW w:type="dxa" w:w="2400"/>
            <w:shd w:fill="F2F2F2" w:val="clear"/>
            <w:tcMar>
              <w:top w:type="dxa" w:w="100"/>
              <w:left w:type="dxa" w:w="150"/>
              <w:bottom w:type="dxa" w:w="100"/>
              <w:right w:type="dxa" w:w="150"/>
            </w:tcMar>
            <w:vAlign w:val="center"/>
          </w:tcPr>
          <w:p>
            <w:r>
              <w:rPr>
                <w:rFonts w:ascii="Calibri" w:cs="Calibri" w:eastAsia="Calibri" w:hAnsi="Calibri"/>
                <w:sz w:val="20"/>
                <w:szCs w:val="20"/>
              </w:rPr>
              <w:t xml:space="preserve">Model reasoning inconsistency</w:t>
            </w:r>
          </w:p>
        </w:tc>
        <w:tc>
          <w:tcPr>
            <w:tcW w:type="dxa" w:w="3200"/>
            <w:shd w:fill="F2F2F2" w:val="clear"/>
            <w:tcMar>
              <w:top w:type="dxa" w:w="100"/>
              <w:left w:type="dxa" w:w="150"/>
              <w:bottom w:type="dxa" w:w="100"/>
              <w:right w:type="dxa" w:w="150"/>
            </w:tcMar>
            <w:vAlign w:val="center"/>
          </w:tcPr>
          <w:p>
            <w:r>
              <w:rPr>
                <w:rFonts w:ascii="Calibri" w:cs="Calibri" w:eastAsia="Calibri" w:hAnsi="Calibri"/>
                <w:sz w:val="20"/>
                <w:szCs w:val="20"/>
              </w:rPr>
              <w:t xml:space="preserve">A capable model may occasionally decline despite retrieving directly relevant context</w:t>
            </w:r>
          </w:p>
        </w:tc>
        <w:tc>
          <w:tcPr>
            <w:tcW w:type="dxa" w:w="3400"/>
            <w:shd w:fill="F2F2F2" w:val="clear"/>
            <w:tcMar>
              <w:top w:type="dxa" w:w="100"/>
              <w:left w:type="dxa" w:w="150"/>
              <w:bottom w:type="dxa" w:w="100"/>
              <w:right w:type="dxa" w:w="150"/>
            </w:tcMar>
            <w:vAlign w:val="center"/>
          </w:tcPr>
          <w:p>
            <w:r>
              <w:rPr>
                <w:rFonts w:ascii="Calibri" w:cs="Calibri" w:eastAsia="Calibri" w:hAnsi="Calibri"/>
                <w:sz w:val="20"/>
                <w:szCs w:val="20"/>
              </w:rPr>
              <w:t xml:space="preserve">Documented, monitored via logging; candidate for reranking improvements</w:t>
            </w:r>
          </w:p>
        </w:tc>
      </w:tr>
    </w:tbl>
    <w:p>
      <w:pPr>
        <w:pStyle w:val="Heading1"/>
        <w:pageBreakBefore/>
        <w:spacing w:after="240" w:before="480"/>
      </w:pPr>
      <w:r>
        <w:t xml:space="preserve">26. Conclusion</w:t>
      </w:r>
    </w:p>
    <w:p>
      <w:pPr>
        <w:spacing w:after="200" w:line="276"/>
      </w:pPr>
      <w:r>
        <w:rPr>
          <w:rFonts w:ascii="Calibri" w:cs="Calibri" w:eastAsia="Calibri" w:hAnsi="Calibri"/>
          <w:sz w:val="22"/>
          <w:szCs w:val="22"/>
        </w:rPr>
        <w:t xml:space="preserve">The Philippine Labor Law Chatbot architecture achieves its core design goal: an information system that is genuinely useful precisely because of its restraint — it answers confidently only when it has verified grounds to do so, and declines honestly otherwise. The layered separation between frontend, backend orchestration, retrieval, and generation gives the firm a system that can evolve incrementally — expanding the document corpus, refining retrieval quality, or changing the generation provider — without requiring a ground-up rebuild.</w:t>
      </w:r>
    </w:p>
    <w:p>
      <w:pPr>
        <w:spacing w:after="200" w:line="276"/>
      </w:pPr>
      <w:r>
        <w:rPr>
          <w:rFonts w:ascii="Calibri" w:cs="Calibri" w:eastAsia="Calibri" w:hAnsi="Calibri"/>
          <w:sz w:val="22"/>
          <w:szCs w:val="22"/>
        </w:rPr>
        <w:t xml:space="preserve">This document should be treated as a living reference, updated as the corpus expands, retrieval improvements from Section 24 are implemented, and production usage data informs further architectural refinement.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Philippine Labor Law Chatbot — Software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2026-07-15T02:42:28.439Z</dcterms:created>
  <dcterms:modified xsi:type="dcterms:W3CDTF">2026-07-15T02:42:28.451Z</dcterms:modified>
</cp:coreProperties>
</file>

<file path=docProps/custom.xml><?xml version="1.0" encoding="utf-8"?>
<Properties xmlns="http://schemas.openxmlformats.org/officeDocument/2006/custom-properties" xmlns:vt="http://schemas.openxmlformats.org/officeDocument/2006/docPropsVTypes"/>
</file>