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bookmarkStart w:colFirst="0" w:colLast="0" w:name="_heading=h.gjdgxs" w:id="0"/>
      <w:bookmarkEnd w:id="0"/>
      <w:r w:rsidDel="00000000" w:rsidR="00000000" w:rsidRPr="00000000">
        <w:rPr>
          <w:rtl w:val="0"/>
        </w:rPr>
      </w:r>
    </w:p>
    <w:tbl>
      <w:tblPr>
        <w:tblStyle w:val="Table1"/>
        <w:tblW w:w="10080.0" w:type="dxa"/>
        <w:jc w:val="left"/>
        <w:tblInd w:w="-1080.0" w:type="dxa"/>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000"/>
      </w:tblPr>
      <w:tblGrid>
        <w:gridCol w:w="1776"/>
        <w:gridCol w:w="8304"/>
        <w:tblGridChange w:id="0">
          <w:tblGrid>
            <w:gridCol w:w="1776"/>
            <w:gridCol w:w="8304"/>
          </w:tblGrid>
        </w:tblGridChange>
      </w:tblGrid>
      <w:tr>
        <w:trPr>
          <w:cantSplit w:val="0"/>
          <w:trHeight w:val="19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15.0" w:type="dxa"/>
              <w:bottom w:w="115.0" w:type="dxa"/>
            </w:tcMar>
            <w:vAlign w:val="bottom"/>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OIL/GAS EXPLORATION AND PRODUCTION – PHASE 1</w:t>
            </w:r>
          </w:p>
          <w:p w:rsidR="00000000" w:rsidDel="00000000" w:rsidP="00000000" w:rsidRDefault="00000000" w:rsidRPr="00000000" w14:paraId="00000005">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Pr>
              <w:drawing>
                <wp:inline distB="114300" distT="114300" distL="114300" distR="114300">
                  <wp:extent cx="5133975" cy="3060700"/>
                  <wp:effectExtent b="0" l="0" r="0" t="0"/>
                  <wp:docPr id="1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13397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rPr>
            </w:pPr>
            <w:bookmarkStart w:colFirst="0" w:colLast="0" w:name="_heading=h.g1gn7d2pt5tk" w:id="1"/>
            <w:bookmarkEnd w:id="1"/>
            <w:r w:rsidDel="00000000" w:rsidR="00000000" w:rsidRPr="00000000">
              <w:rPr>
                <w:rtl w:val="0"/>
              </w:rPr>
            </w:r>
          </w:p>
          <w:p w:rsidR="00000000" w:rsidDel="00000000" w:rsidP="00000000" w:rsidRDefault="00000000" w:rsidRPr="00000000" w14:paraId="00000007">
            <w:pPr>
              <w:pStyle w:val="Subtitle"/>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ORANGE HOMEWORK TEAM 8</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rPr>
            </w:pPr>
            <w:bookmarkStart w:colFirst="0" w:colLast="0" w:name="_heading=h.3e7udkrokpt" w:id="3"/>
            <w:bookmarkEnd w:id="3"/>
            <w:r w:rsidDel="00000000" w:rsidR="00000000" w:rsidRPr="00000000">
              <w:rPr>
                <w:rFonts w:ascii="Times New Roman" w:cs="Times New Roman" w:eastAsia="Times New Roman" w:hAnsi="Times New Roman"/>
                <w:rtl w:val="0"/>
              </w:rPr>
              <w:t xml:space="preserve">Karthick Krishna Balaji</w:t>
            </w:r>
          </w:p>
          <w:p w:rsidR="00000000" w:rsidDel="00000000" w:rsidP="00000000" w:rsidRDefault="00000000" w:rsidRPr="00000000" w14:paraId="0000000B">
            <w:pPr>
              <w:pStyle w:val="Subtitle"/>
              <w:rPr>
                <w:rFonts w:ascii="Times New Roman" w:cs="Times New Roman" w:eastAsia="Times New Roman" w:hAnsi="Times New Roman"/>
              </w:rPr>
            </w:pPr>
            <w:bookmarkStart w:colFirst="0" w:colLast="0" w:name="_heading=h.mb64w8usjqmd" w:id="4"/>
            <w:bookmarkEnd w:id="4"/>
            <w:r w:rsidDel="00000000" w:rsidR="00000000" w:rsidRPr="00000000">
              <w:rPr>
                <w:rFonts w:ascii="Times New Roman" w:cs="Times New Roman" w:eastAsia="Times New Roman" w:hAnsi="Times New Roman"/>
                <w:rtl w:val="0"/>
              </w:rPr>
              <w:t xml:space="preserve">Camille Carter</w:t>
            </w:r>
          </w:p>
          <w:p w:rsidR="00000000" w:rsidDel="00000000" w:rsidP="00000000" w:rsidRDefault="00000000" w:rsidRPr="00000000" w14:paraId="0000000C">
            <w:pPr>
              <w:pStyle w:val="Subtitle"/>
              <w:rPr>
                <w:rFonts w:ascii="Times New Roman" w:cs="Times New Roman" w:eastAsia="Times New Roman" w:hAnsi="Times New Roman"/>
              </w:rPr>
            </w:pPr>
            <w:bookmarkStart w:colFirst="0" w:colLast="0" w:name="_heading=h.9ziph49ojpy9" w:id="5"/>
            <w:bookmarkEnd w:id="5"/>
            <w:r w:rsidDel="00000000" w:rsidR="00000000" w:rsidRPr="00000000">
              <w:rPr>
                <w:rFonts w:ascii="Times New Roman" w:cs="Times New Roman" w:eastAsia="Times New Roman" w:hAnsi="Times New Roman"/>
                <w:rtl w:val="0"/>
              </w:rPr>
              <w:t xml:space="preserve">Margeaux Johnson</w:t>
            </w:r>
          </w:p>
          <w:p w:rsidR="00000000" w:rsidDel="00000000" w:rsidP="00000000" w:rsidRDefault="00000000" w:rsidRPr="00000000" w14:paraId="0000000D">
            <w:pPr>
              <w:pStyle w:val="Subtitle"/>
              <w:rPr/>
            </w:pPr>
            <w:bookmarkStart w:colFirst="0" w:colLast="0" w:name="_heading=h.rk8ldy9ycew7" w:id="6"/>
            <w:bookmarkEnd w:id="6"/>
            <w:r w:rsidDel="00000000" w:rsidR="00000000" w:rsidRPr="00000000">
              <w:rPr>
                <w:rFonts w:ascii="Times New Roman" w:cs="Times New Roman" w:eastAsia="Times New Roman" w:hAnsi="Times New Roman"/>
                <w:rtl w:val="0"/>
              </w:rPr>
              <w:t xml:space="preserve">Dillard McMichael</w:t>
            </w:r>
            <w:r w:rsidDel="00000000" w:rsidR="00000000" w:rsidRPr="00000000">
              <w:rPr>
                <w:rtl w:val="0"/>
              </w:rPr>
            </w:r>
          </w:p>
          <w:p w:rsidR="00000000" w:rsidDel="00000000" w:rsidP="00000000" w:rsidRDefault="00000000" w:rsidRPr="00000000" w14:paraId="0000000E">
            <w:pPr>
              <w:pStyle w:val="Subtitle"/>
              <w:rPr/>
            </w:pPr>
            <w:bookmarkStart w:colFirst="0" w:colLast="0" w:name="_heading=h.tyjcwt" w:id="7"/>
            <w:bookmarkEnd w:id="7"/>
            <w:r w:rsidDel="00000000" w:rsidR="00000000" w:rsidRPr="00000000">
              <w:rPr>
                <w:rFonts w:ascii="Times New Roman" w:cs="Times New Roman" w:eastAsia="Times New Roman" w:hAnsi="Times New Roman"/>
                <w:rtl w:val="0"/>
              </w:rPr>
              <w:t xml:space="preserve">Nish Torane</w:t>
            </w:r>
            <w:r w:rsidDel="00000000" w:rsidR="00000000" w:rsidRPr="00000000">
              <w:rPr>
                <w:rtl w:val="0"/>
              </w:rPr>
            </w:r>
          </w:p>
          <w:p w:rsidR="00000000" w:rsidDel="00000000" w:rsidP="00000000" w:rsidRDefault="00000000" w:rsidRPr="00000000" w14:paraId="0000000F">
            <w:pPr>
              <w:pStyle w:val="Subtitle"/>
              <w:jc w:val="left"/>
              <w:rPr>
                <w:rFonts w:ascii="Times New Roman" w:cs="Times New Roman" w:eastAsia="Times New Roman" w:hAnsi="Times New Roman"/>
              </w:rPr>
            </w:pPr>
            <w:bookmarkStart w:colFirst="0" w:colLast="0" w:name="_heading=h.nie2eycp5jn" w:id="8"/>
            <w:bookmarkEnd w:id="8"/>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rFonts w:ascii="Times New Roman" w:cs="Times New Roman" w:eastAsia="Times New Roman" w:hAnsi="Times New Roman"/>
                <w:sz w:val="40"/>
                <w:szCs w:val="40"/>
              </w:rPr>
            </w:pPr>
            <w:bookmarkStart w:colFirst="0" w:colLast="0" w:name="_heading=h.4d34og8" w:id="9"/>
            <w:bookmarkEnd w:id="9"/>
            <w:r w:rsidDel="00000000" w:rsidR="00000000" w:rsidRPr="00000000">
              <w:rPr>
                <w:rFonts w:ascii="Times New Roman" w:cs="Times New Roman" w:eastAsia="Times New Roman" w:hAnsi="Times New Roman"/>
                <w:rtl w:val="0"/>
              </w:rPr>
              <w:t xml:space="preserve">February 07, 2023</w:t>
            </w:r>
            <w:r w:rsidDel="00000000" w:rsidR="00000000" w:rsidRPr="00000000">
              <w:rPr>
                <w:rtl w:val="0"/>
              </w:rPr>
            </w:r>
          </w:p>
        </w:tc>
      </w:tr>
    </w:tbl>
    <w:p w:rsidR="00000000" w:rsidDel="00000000" w:rsidP="00000000" w:rsidRDefault="00000000" w:rsidRPr="00000000" w14:paraId="00000012">
      <w:pPr>
        <w:spacing w:after="40" w:before="40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40" w:befor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6"/>
          <w:szCs w:val="36"/>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Methodology and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aldq4efrav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Used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_heading=h.haldq4efravl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b8240tk7x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Normality Check</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_heading=h.ab8240tk7x6x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5cmkkuo4b3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Kernel Density Estimation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_heading=h.g5cmkkuo4b3l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llr5zil0q9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Estimating For 2023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_heading=h.8llr5zil0q9q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q2321jxrc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and Recommendations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_heading=h.cq2321jxrcvd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ns6zifpn2t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_heading=h.vns6zifpn2tr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sxwwxo6toq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_heading=h.esxwwxo6toq1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xj2x5eo9xv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_heading=h.exj2x5eo9xv8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F">
      <w:pPr>
        <w:keepNext w:val="1"/>
        <w:keepLines w:val="1"/>
        <w:pageBreakBefore w:val="0"/>
        <w:pBdr>
          <w:top w:space="0" w:sz="0" w:val="nil"/>
          <w:left w:space="0" w:sz="0" w:val="nil"/>
          <w:bottom w:space="0" w:sz="0" w:val="nil"/>
          <w:right w:space="0" w:sz="0" w:val="nil"/>
          <w:between w:space="0" w:sz="0" w:val="nil"/>
        </w:pBdr>
        <w:spacing w:after="40" w:before="400" w:line="276"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0">
      <w:pPr>
        <w:keepNext w:val="1"/>
        <w:keepLines w:val="1"/>
        <w:pageBreakBefore w:val="0"/>
        <w:pBdr>
          <w:top w:space="0" w:sz="0" w:val="nil"/>
          <w:left w:space="0" w:sz="0" w:val="nil"/>
          <w:bottom w:space="0" w:sz="0" w:val="nil"/>
          <w:right w:space="0" w:sz="0" w:val="nil"/>
          <w:between w:space="0" w:sz="0" w:val="nil"/>
        </w:pBdr>
        <w:spacing w:after="40" w:before="40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1">
      <w:pPr>
        <w:keepNext w:val="1"/>
        <w:keepLines w:val="1"/>
        <w:pageBreakBefore w:val="0"/>
        <w:pBdr>
          <w:top w:space="0" w:sz="0" w:val="nil"/>
          <w:left w:space="0" w:sz="0" w:val="nil"/>
          <w:bottom w:space="0" w:sz="0" w:val="nil"/>
          <w:right w:space="0" w:sz="0" w:val="nil"/>
          <w:between w:space="0" w:sz="0" w:val="nil"/>
        </w:pBdr>
        <w:spacing w:after="40" w:before="400" w:line="240" w:lineRule="auto"/>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48"/>
          <w:szCs w:val="48"/>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144"/>
          <w:pgNumType w:start="1"/>
          <w:titlePg w:val="1"/>
        </w:sectPr>
      </w:pPr>
      <w:r w:rsidDel="00000000" w:rsidR="00000000" w:rsidRPr="00000000">
        <w:rPr>
          <w:rtl w:val="0"/>
        </w:rPr>
      </w:r>
    </w:p>
    <w:p w:rsidR="00000000" w:rsidDel="00000000" w:rsidP="00000000" w:rsidRDefault="00000000" w:rsidRPr="00000000" w14:paraId="00000025">
      <w:pPr>
        <w:pStyle w:val="Title"/>
        <w:jc w:val="left"/>
        <w:rPr>
          <w:rFonts w:ascii="Times New Roman" w:cs="Times New Roman" w:eastAsia="Times New Roman" w:hAnsi="Times New Roman"/>
          <w:b w:val="1"/>
          <w:color w:val="000000"/>
          <w:sz w:val="40"/>
          <w:szCs w:val="40"/>
        </w:rPr>
      </w:pPr>
      <w:bookmarkStart w:colFirst="0" w:colLast="0" w:name="_heading=h.2s8eyo1" w:id="10"/>
      <w:bookmarkEnd w:id="10"/>
      <w:r w:rsidDel="00000000" w:rsidR="00000000" w:rsidRPr="00000000">
        <w:rPr>
          <w:rFonts w:ascii="Times New Roman" w:cs="Times New Roman" w:eastAsia="Times New Roman" w:hAnsi="Times New Roman"/>
          <w:b w:val="1"/>
          <w:color w:val="000000"/>
          <w:sz w:val="40"/>
          <w:szCs w:val="40"/>
          <w:rtl w:val="0"/>
        </w:rPr>
        <w:t xml:space="preserve">Oil/Gas Exploration and Production – Phase 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before="0" w:lineRule="auto"/>
        <w:rPr>
          <w:rFonts w:ascii="Times New Roman" w:cs="Times New Roman" w:eastAsia="Times New Roman" w:hAnsi="Times New Roman"/>
          <w:sz w:val="20"/>
          <w:szCs w:val="20"/>
        </w:rPr>
      </w:pPr>
      <w:bookmarkStart w:colFirst="0" w:colLast="0" w:name="_heading=h.17dp8vu" w:id="11"/>
      <w:bookmarkEnd w:id="11"/>
      <w:r w:rsidDel="00000000" w:rsidR="00000000" w:rsidRPr="00000000">
        <w:rPr>
          <w:rFonts w:ascii="Times New Roman" w:cs="Times New Roman" w:eastAsia="Times New Roman" w:hAnsi="Times New Roman"/>
          <w:b w:val="1"/>
          <w:rtl w:val="0"/>
        </w:rPr>
        <w:t xml:space="preserve">Overview </w:t>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Compagnie Pétrolière et Gazière (hereafter the “Company”) has tasked Orange Homework Team 8 (hereafter the “Analysts”) to simulate future values of 2023 drilling costs. The Company has provided two datasets containing historical drilling costs from 1960 to 2007 and projected costs from 2023 to 2050. </w:t>
      </w:r>
    </w:p>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Assuming an average cost applied to oil, gas, and dry wells, the Analysts used trends in recent cost changes provided by the U.S. Energy Information Association to simulate possible 2023 drilling costs. After performing simulations under both the assumption of normality and a Kernel Density Estimate (KDE) of arithmetic changes from 2006-2012, the Analysts found that the KDE resulted in a greater spread of projected cost values. For this reason, the Analysts recommend using a KDE distribution for simulating future cost values, as the broader range gives the Company a clearer picture of all possible outcomes.</w:t>
      </w:r>
    </w:p>
    <w:p w:rsidR="00000000" w:rsidDel="00000000" w:rsidP="00000000" w:rsidRDefault="00000000" w:rsidRPr="00000000" w14:paraId="0000002A">
      <w:pPr>
        <w:pStyle w:val="Heading1"/>
        <w:spacing w:after="240" w:before="240" w:lineRule="auto"/>
        <w:rPr>
          <w:rFonts w:ascii="Times New Roman" w:cs="Times New Roman" w:eastAsia="Times New Roman" w:hAnsi="Times New Roman"/>
          <w:b w:val="1"/>
        </w:rPr>
      </w:pPr>
      <w:bookmarkStart w:colFirst="0" w:colLast="0" w:name="_heading=h.c6tk8lr8pyv5" w:id="12"/>
      <w:bookmarkEnd w:id="12"/>
      <w:r w:rsidDel="00000000" w:rsidR="00000000" w:rsidRPr="00000000">
        <w:rPr>
          <w:rFonts w:ascii="Times New Roman" w:cs="Times New Roman" w:eastAsia="Times New Roman" w:hAnsi="Times New Roman"/>
          <w:b w:val="1"/>
          <w:rtl w:val="0"/>
        </w:rPr>
        <w:t xml:space="preserve">Methodology and Analysis</w:t>
      </w:r>
    </w:p>
    <w:p w:rsidR="00000000" w:rsidDel="00000000" w:rsidP="00000000" w:rsidRDefault="00000000" w:rsidRPr="00000000" w14:paraId="0000002B">
      <w:pPr>
        <w:pStyle w:val="Heading2"/>
        <w:rPr>
          <w:rFonts w:ascii="Times New Roman" w:cs="Times New Roman" w:eastAsia="Times New Roman" w:hAnsi="Times New Roman"/>
        </w:rPr>
      </w:pPr>
      <w:bookmarkStart w:colFirst="0" w:colLast="0" w:name="_heading=h.haldq4efravl" w:id="13"/>
      <w:bookmarkEnd w:id="13"/>
      <w:r w:rsidDel="00000000" w:rsidR="00000000" w:rsidRPr="00000000">
        <w:rPr>
          <w:rFonts w:ascii="Times New Roman" w:cs="Times New Roman" w:eastAsia="Times New Roman" w:hAnsi="Times New Roman"/>
          <w:rtl w:val="0"/>
        </w:rPr>
        <w:t xml:space="preserve">Data Used</w:t>
      </w:r>
    </w:p>
    <w:p w:rsidR="00000000" w:rsidDel="00000000" w:rsidP="00000000" w:rsidRDefault="00000000" w:rsidRPr="00000000" w14:paraId="0000002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provided the Analysts with two datasets. The first dataset contains historical Drilling Cost data from 1960 to 2007. The second dataset contains the projected price of drilling costs from 2023 to 2050. For this phase, the Analysts used the first dataset. This dataset includes the cost of drilling crude oil, natural gas, and dry wells in thousands of dollars. The dataset also provided arithmetic returns for each year and each drilling method. As suggested by the Company, the Analysts only used data between 1990 and 2006. The Analysts converted the character variables to numeric and calculated the average annual cost and return as two new variables.</w:t>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heading=h.ab8240tk7x6x" w:id="14"/>
      <w:bookmarkEnd w:id="14"/>
      <w:r w:rsidDel="00000000" w:rsidR="00000000" w:rsidRPr="00000000">
        <w:rPr>
          <w:rFonts w:ascii="Times New Roman" w:cs="Times New Roman" w:eastAsia="Times New Roman" w:hAnsi="Times New Roman"/>
          <w:rtl w:val="0"/>
        </w:rPr>
        <w:t xml:space="preserve">Normality Check</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performed a normality test on the arithmetic changes of return in the subset data using a Q-Q plot and the Shapiro-Wilk test. </w:t>
      </w: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shows the output from the Q-Q plot, visually representing how the data follows a normal distribution.</w:t>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70563" cy="2743200"/>
            <wp:effectExtent b="12700" l="12700" r="12700" t="1270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70563"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Normality Check on Arithmetic Return</w:t>
      </w:r>
    </w:p>
    <w:p w:rsidR="00000000" w:rsidDel="00000000" w:rsidP="00000000" w:rsidRDefault="00000000" w:rsidRPr="00000000" w14:paraId="0000003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Confirming the arithmetic changes follow a normal distribution, the Analysts performed the Shapiro-Wilk test on the same data and obtained a p-value greater than the significance level of 0.05.</w:t>
      </w:r>
      <w:r w:rsidDel="00000000" w:rsidR="00000000" w:rsidRPr="00000000">
        <w:rPr>
          <w:rtl w:val="0"/>
        </w:rPr>
      </w:r>
    </w:p>
    <w:p w:rsidR="00000000" w:rsidDel="00000000" w:rsidP="00000000" w:rsidRDefault="00000000" w:rsidRPr="00000000" w14:paraId="00000032">
      <w:pPr>
        <w:pStyle w:val="Heading2"/>
        <w:rPr>
          <w:rFonts w:ascii="Times New Roman" w:cs="Times New Roman" w:eastAsia="Times New Roman" w:hAnsi="Times New Roman"/>
        </w:rPr>
      </w:pPr>
      <w:bookmarkStart w:colFirst="0" w:colLast="0" w:name="_heading=h.g5cmkkuo4b3l" w:id="15"/>
      <w:bookmarkEnd w:id="15"/>
      <w:r w:rsidDel="00000000" w:rsidR="00000000" w:rsidRPr="00000000">
        <w:rPr>
          <w:rFonts w:ascii="Times New Roman" w:cs="Times New Roman" w:eastAsia="Times New Roman" w:hAnsi="Times New Roman"/>
          <w:rtl w:val="0"/>
        </w:rPr>
        <w:t xml:space="preserve">Kernel Density Estimation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performed the KDE on the annual arithmetic changes of return in the subset data. After first identifying the bandwidth, the Analysts used 100,000 sample points to estimate the kernel density. The graphical output can be seen in </w:t>
      </w: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44537" cy="2743200"/>
            <wp:effectExtent b="12700" l="12700" r="12700" t="12700"/>
            <wp:docPr id="1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44537"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Kernel Density Estimate of Annual Changes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red dotted line represents the mean value (13.13%) of the average changes, as seen in </w:t>
      </w: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The minimum and maximum values of average arithmetic returns were between -47.05% and 79.53%, respectively. </w:t>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heading=h.8llr5zil0q9q" w:id="16"/>
      <w:bookmarkEnd w:id="16"/>
      <w:r w:rsidDel="00000000" w:rsidR="00000000" w:rsidRPr="00000000">
        <w:rPr>
          <w:rFonts w:ascii="Times New Roman" w:cs="Times New Roman" w:eastAsia="Times New Roman" w:hAnsi="Times New Roman"/>
          <w:rtl w:val="0"/>
        </w:rPr>
        <w:t xml:space="preserve">Estimating For 2023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ran two simulations to calculate future values of 2023 drilling costs. The first method uses a normal distribution for the 2006-2012 data, and the second uses KDE for the 2006-2012 data. A report details the changes in cost for the 2012-2015 data as decreasing on average by 9.17% per year with a minimum of 7% and a maximum of 22%. The changes in cost for the 2015-2023 data increase on average by 5% per year, with a minimum of 2% and a maximum of 6%. Given this information, the Analysts used two triangular distributions in both simulations to estimate the remaining years: one for the 2012-2015 data and another for the 2015-2023 data, given the previous information. To simulate possible future values of 2023 drilling costs, the Analysts also used the average drilling cost in 2006 as the initial cost and ran 100,000 simulations.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first simulation to identify the 2023 drilling cost involves the product of Initial cost, KDE for 2006-2012, and the triangular distributions for 2012-2015 and 2015-2023. The resulting distribution is pictured in </w:t>
      </w:r>
      <w:r w:rsidDel="00000000" w:rsidR="00000000" w:rsidRPr="00000000">
        <w:rPr>
          <w:rFonts w:ascii="Times New Roman" w:cs="Times New Roman" w:eastAsia="Times New Roman" w:hAnsi="Times New Roman"/>
          <w:b w:val="1"/>
          <w:sz w:val="20"/>
          <w:szCs w:val="20"/>
          <w:rtl w:val="0"/>
        </w:rPr>
        <w:t xml:space="preserve">Figure 3</w:t>
      </w:r>
      <w:r w:rsidDel="00000000" w:rsidR="00000000" w:rsidRPr="00000000">
        <w:rPr>
          <w:rFonts w:ascii="Times New Roman" w:cs="Times New Roman" w:eastAsia="Times New Roman" w:hAnsi="Times New Roman"/>
          <w:sz w:val="20"/>
          <w:szCs w:val="20"/>
          <w:rtl w:val="0"/>
        </w:rPr>
        <w:t xml:space="preserve"> in the Appendix. The red line from the above figure shows the initial cost from 2006.</w:t>
      </w:r>
    </w:p>
    <w:p w:rsidR="00000000" w:rsidDel="00000000" w:rsidP="00000000" w:rsidRDefault="00000000" w:rsidRPr="00000000" w14:paraId="0000003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second simulation to identify the 2023 drilling cost involves a product of Initial cost, normal distribution for 2006-2012, and the triangular distributions for 2012-2015 and 2015-2023. The resulting distribution is pictured in </w:t>
      </w: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in the Appendix. The red line from the above figure shows the initial cost from 2006.</w:t>
      </w:r>
      <w:r w:rsidDel="00000000" w:rsidR="00000000" w:rsidRPr="00000000">
        <w:rPr>
          <w:rtl w:val="0"/>
        </w:rPr>
      </w:r>
    </w:p>
    <w:p w:rsidR="00000000" w:rsidDel="00000000" w:rsidP="00000000" w:rsidRDefault="00000000" w:rsidRPr="00000000" w14:paraId="0000003B">
      <w:pPr>
        <w:pStyle w:val="Heading1"/>
        <w:widowControl w:val="0"/>
        <w:spacing w:after="160" w:before="0" w:lineRule="auto"/>
        <w:rPr>
          <w:rFonts w:ascii="Times New Roman" w:cs="Times New Roman" w:eastAsia="Times New Roman" w:hAnsi="Times New Roman"/>
          <w:b w:val="1"/>
        </w:rPr>
      </w:pPr>
      <w:bookmarkStart w:colFirst="0" w:colLast="0" w:name="_heading=h.cq2321jxrcvd" w:id="17"/>
      <w:bookmarkEnd w:id="17"/>
      <w:r w:rsidDel="00000000" w:rsidR="00000000" w:rsidRPr="00000000">
        <w:rPr>
          <w:rFonts w:ascii="Times New Roman" w:cs="Times New Roman" w:eastAsia="Times New Roman" w:hAnsi="Times New Roman"/>
          <w:b w:val="1"/>
          <w:rtl w:val="0"/>
        </w:rPr>
        <w:t xml:space="preserve">Results and Recommendations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For result: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1st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3095166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4137836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4472709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5477646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21168103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547877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4182659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4466106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5454065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18646863</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Table: Summary Statistics for Simulated 2023 Drilling Costs</w:t>
      </w: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Initial cost: </w:t>
      </w:r>
      <w:r w:rsidDel="00000000" w:rsidR="00000000" w:rsidRPr="00000000">
        <w:rPr>
          <w:rFonts w:ascii="Times New Roman" w:cs="Times New Roman" w:eastAsia="Times New Roman" w:hAnsi="Times New Roman"/>
          <w:sz w:val="20"/>
          <w:szCs w:val="20"/>
          <w:rtl w:val="0"/>
        </w:rPr>
        <w:t xml:space="preserve">2279800</w:t>
      </w:r>
      <w:r w:rsidDel="00000000" w:rsidR="00000000" w:rsidRPr="00000000">
        <w:rPr>
          <w:rtl w:val="0"/>
        </w:rPr>
      </w:r>
    </w:p>
    <w:p w:rsidR="00000000" w:rsidDel="00000000" w:rsidP="00000000" w:rsidRDefault="00000000" w:rsidRPr="00000000" w14:paraId="00000055">
      <w:pPr>
        <w:pStyle w:val="Heading2"/>
        <w:rPr>
          <w:rFonts w:ascii="Times New Roman" w:cs="Times New Roman" w:eastAsia="Times New Roman" w:hAnsi="Times New Roman"/>
        </w:rPr>
      </w:pPr>
      <w:bookmarkStart w:colFirst="0" w:colLast="0" w:name="_heading=h.vns6zifpn2tr" w:id="18"/>
      <w:bookmarkEnd w:id="18"/>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Analysts recommend the Company use the KDE distribution to estimate the arithmetic changes for the years 2006 - 2012. Compared to the normal distribution estimation, the stimulated costs of the KDE distribution had a broader spread that better accounted for the possible cost projections. This information for 2023 costs will help best anticipate and prepare for future operations. Pivoting to assuming a KDE distribution will improve the Company’s drilling cost estimation going forward.  </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Analysts recommend that the Company simulate the average costs for oil, gas, and dry wells individually. Since the aggregated simulation was positively skewed, it would be helpful to understand what drives those inflated costs. Conducting individual simulations for each type and analyzing their distributions will allow a better understanding of which product type is associated with the most risk. The Company would then be able to better allocate its resources and account for possible risk.  </w:t>
      </w:r>
      <w:r w:rsidDel="00000000" w:rsidR="00000000" w:rsidRPr="00000000">
        <w:rPr>
          <w:rtl w:val="0"/>
        </w:rPr>
      </w:r>
    </w:p>
    <w:p w:rsidR="00000000" w:rsidDel="00000000" w:rsidP="00000000" w:rsidRDefault="00000000" w:rsidRPr="00000000" w14:paraId="0000005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Times New Roman" w:cs="Times New Roman" w:eastAsia="Times New Roman" w:hAnsi="Times New Roman"/>
          <w:b w:val="1"/>
        </w:rPr>
      </w:pPr>
      <w:bookmarkStart w:colFirst="0" w:colLast="0" w:name="_heading=h.esxwwxo6toq1" w:id="19"/>
      <w:bookmarkEnd w:id="19"/>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5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report details the process of simulating possible future values of 2023 drilling costs using both normal distribution estimation and kernel density estimation. The Analysts only used the cost data from 1990-2006 due to tremendous changes in the cost structure in the previous decades. From 2007 to 2023, the analysts used two different approaches - one that combined a normal distribution estimation with two triangular distribution estimations and the other that combined a kernel density estimation with two triangular distribution estimations. The Analysts also checked and verified that the cost changes from 2007-2012 satisfied normality. The initial cost used to model the 2023 drilling cost came from the 2006 price estimate which was $2,279800. </w:t>
      </w:r>
    </w:p>
    <w:p w:rsidR="00000000" w:rsidDel="00000000" w:rsidP="00000000" w:rsidRDefault="00000000" w:rsidRPr="00000000" w14:paraId="0000005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2023 drilling cost results obtained from both the approaches showed that the one that included the KDE estimation had a wider distribution variance than the one with normal distribution. The mean drilling cost with the KDE estimation was also higher than the one with normal distribution estimation by $6603. Based on the results, the Analysts recommend the Company to use the approach that includes the KDE distribution. This will ensure the most comprehensive estimation of drilling cost based on a wider distribution variance. It would also enable the Company to better account for risk and help with resource allocation. </w:t>
      </w:r>
    </w:p>
    <w:p w:rsidR="00000000" w:rsidDel="00000000" w:rsidP="00000000" w:rsidRDefault="00000000" w:rsidRPr="00000000" w14:paraId="0000005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widowControl w:val="0"/>
        <w:spacing w:before="0" w:lineRule="auto"/>
        <w:rPr>
          <w:rFonts w:ascii="Times New Roman" w:cs="Times New Roman" w:eastAsia="Times New Roman" w:hAnsi="Times New Roman"/>
          <w:b w:val="1"/>
        </w:rPr>
      </w:pPr>
      <w:bookmarkStart w:colFirst="0" w:colLast="0" w:name="_heading=h.exj2x5eo9xv8" w:id="20"/>
      <w:bookmarkEnd w:id="20"/>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45529" cy="2743200"/>
            <wp:effectExtent b="12700" l="12700" r="12700" t="12700"/>
            <wp:docPr id="1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45529"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2023 Drilling Cost under Kernel Density Estimate for 2006-2012</w:t>
      </w:r>
    </w:p>
    <w:p w:rsidR="00000000" w:rsidDel="00000000" w:rsidP="00000000" w:rsidRDefault="00000000" w:rsidRPr="00000000" w14:paraId="00000068">
      <w:pPr>
        <w:spacing w:after="240" w:befor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9">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35731" cy="2743200"/>
            <wp:effectExtent b="12700" l="12700" r="12700" t="12700"/>
            <wp:docPr id="1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35731"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2023 Drilling Cost under Normality Assumption for 2006-2012</w:t>
      </w:r>
    </w:p>
    <w:p w:rsidR="00000000" w:rsidDel="00000000" w:rsidP="00000000" w:rsidRDefault="00000000" w:rsidRPr="00000000" w14:paraId="0000006B">
      <w:pPr>
        <w:spacing w:after="240" w:before="240" w:lineRule="auto"/>
        <w:jc w:val="left"/>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C">
      <w:pPr>
        <w:widowControl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Homework Report Checklist</w:t>
      </w:r>
    </w:p>
    <w:p w:rsidR="00000000" w:rsidDel="00000000" w:rsidP="00000000" w:rsidRDefault="00000000" w:rsidRPr="00000000" w14:paraId="0000006D">
      <w:pP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team member(s) responsible for checking each item should enter their initials in the field next to each question. All items should be addressed before submitting the assignment with the initial checklist attached. </w:t>
      </w:r>
    </w:p>
    <w:p w:rsidR="00000000" w:rsidDel="00000000" w:rsidP="00000000" w:rsidRDefault="00000000" w:rsidRPr="00000000" w14:paraId="0000006E">
      <w:pPr>
        <w:spacing w:after="0" w:lineRule="auto"/>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Sections &amp; Structure</w:t>
      </w:r>
    </w:p>
    <w:p w:rsidR="00000000" w:rsidDel="00000000" w:rsidP="00000000" w:rsidRDefault="00000000" w:rsidRPr="00000000" w14:paraId="0000007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tbl>
      <w:tblPr>
        <w:tblStyle w:val="Table3"/>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15"/>
        <w:tblGridChange w:id="0">
          <w:tblGrid>
            <w:gridCol w:w="660"/>
            <w:gridCol w:w="84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overview concise?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provide context about the business problem? &lt;Content&gt;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briefly address your team’s work, quantifiable results, and recommendations? &lt;Action&gt;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offer audience-centered reasons for recommendations? &lt;Context&gt;</w:t>
            </w:r>
          </w:p>
        </w:tc>
      </w:tr>
    </w:tbl>
    <w:p w:rsidR="00000000" w:rsidDel="00000000" w:rsidP="00000000" w:rsidRDefault="00000000" w:rsidRPr="00000000" w14:paraId="00000079">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Body Sections</w:t>
      </w:r>
    </w:p>
    <w:tbl>
      <w:tblPr>
        <w:tblStyle w:val="Table4"/>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8400"/>
        <w:tblGridChange w:id="0">
          <w:tblGrid>
            <w:gridCol w:w="660"/>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report body include information on methods, analysis, quantifiable results, and</w:t>
              <w:br w:type="textWrapping"/>
              <w:t xml:space="preserve">  recommendations?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content grouped into appropriate sections (methodology, analysis, results, recommendations)?</w:t>
            </w:r>
          </w:p>
        </w:tc>
      </w:tr>
    </w:tbl>
    <w:p w:rsidR="00000000" w:rsidDel="00000000" w:rsidP="00000000" w:rsidRDefault="00000000" w:rsidRPr="00000000" w14:paraId="0000007F">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tbl>
      <w:tblPr>
        <w:tblStyle w:val="Table5"/>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400"/>
        <w:tblGridChange w:id="0">
          <w:tblGrid>
            <w:gridCol w:w="675"/>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report have a conclusion?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the conclusion sum up the report and emphasize relevant takeaways? </w:t>
            </w:r>
          </w:p>
        </w:tc>
      </w:tr>
    </w:tbl>
    <w:p w:rsidR="00000000" w:rsidDel="00000000" w:rsidP="00000000" w:rsidRDefault="00000000" w:rsidRPr="00000000" w14:paraId="00000085">
      <w:pPr>
        <w:pStyle w:val="Heading2"/>
        <w:spacing w:before="0" w:line="276" w:lineRule="auto"/>
        <w:rPr>
          <w:rFonts w:ascii="Times New Roman" w:cs="Times New Roman" w:eastAsia="Times New Roman" w:hAnsi="Times New Roman"/>
          <w:b w:val="1"/>
          <w:smallCaps w:val="0"/>
          <w:sz w:val="22"/>
          <w:szCs w:val="22"/>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w:t>
      </w:r>
    </w:p>
    <w:tbl>
      <w:tblPr>
        <w:tblStyle w:val="Table6"/>
        <w:tblW w:w="909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400"/>
        <w:tblGridChange w:id="0">
          <w:tblGrid>
            <w:gridCol w:w="690"/>
            <w:gridCol w:w="8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each major section have a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sections, subsections, and paragraphs organized logically for easy navigation?</w:t>
            </w:r>
          </w:p>
        </w:tc>
      </w:tr>
    </w:tbl>
    <w:p w:rsidR="00000000" w:rsidDel="00000000" w:rsidP="00000000" w:rsidRDefault="00000000" w:rsidRPr="00000000" w14:paraId="0000008B">
      <w:pPr>
        <w:pStyle w:val="Heading1"/>
        <w:spacing w:after="0" w:before="0" w:line="276" w:lineRule="auto"/>
        <w:rPr>
          <w:rFonts w:ascii="Times New Roman" w:cs="Times New Roman" w:eastAsia="Times New Roman" w:hAnsi="Times New Roman"/>
          <w:b w:val="1"/>
          <w:smallCaps w:val="0"/>
          <w:sz w:val="4"/>
          <w:szCs w:val="4"/>
        </w:rPr>
      </w:pPr>
      <w:bookmarkStart w:colFirst="0" w:colLast="0" w:name="_heading=h.1y810tw" w:id="21"/>
      <w:bookmarkEnd w:id="21"/>
      <w:r w:rsidDel="00000000" w:rsidR="00000000" w:rsidRPr="00000000">
        <w:rPr>
          <w:rtl w:val="0"/>
        </w:rPr>
      </w:r>
    </w:p>
    <w:p w:rsidR="00000000" w:rsidDel="00000000" w:rsidP="00000000" w:rsidRDefault="00000000" w:rsidRPr="00000000" w14:paraId="0000008C">
      <w:pPr>
        <w:spacing w:after="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Visuals</w:t>
      </w:r>
    </w:p>
    <w:p w:rsidR="00000000" w:rsidDel="00000000" w:rsidP="00000000" w:rsidRDefault="00000000" w:rsidRPr="00000000" w14:paraId="0000008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Discussion, and Captions</w:t>
      </w:r>
    </w:p>
    <w:tbl>
      <w:tblPr>
        <w:tblStyle w:val="Table7"/>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385"/>
        <w:tblGridChange w:id="0">
          <w:tblGrid>
            <w:gridCol w:w="675"/>
            <w:gridCol w:w="838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introduced in the text before it appears?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close to where it is introduced?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each visual include a title with the following information: type (table or figure), number, and a descriptive caption?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each visual discussed and interpreted in the text?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figures and tables numbered separately?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table captions above the table? Are figure captions below the figure?</w:t>
            </w:r>
          </w:p>
        </w:tc>
      </w:tr>
    </w:tbl>
    <w:p w:rsidR="00000000" w:rsidDel="00000000" w:rsidP="00000000" w:rsidRDefault="00000000" w:rsidRPr="00000000" w14:paraId="0000009A">
      <w:pPr>
        <w:spacing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 Design</w:t>
      </w:r>
    </w:p>
    <w:tbl>
      <w:tblPr>
        <w:tblStyle w:val="Table8"/>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355"/>
        <w:tblGridChange w:id="0">
          <w:tblGrid>
            <w:gridCol w:w="705"/>
            <w:gridCol w:w="83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figures/tables use audience-friendly labels rather than variable names?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easy to interpret?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appropriately sized?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tables appear on one page (not split between 2 pages)?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legends and axis labels included for figures?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numbers in tables right aligned?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the visuals designed well (ex: re-created in Word or Excel, not blurry or stretched,…)?</w:t>
            </w:r>
          </w:p>
        </w:tc>
      </w:tr>
    </w:tbl>
    <w:p w:rsidR="00000000" w:rsidDel="00000000" w:rsidP="00000000" w:rsidRDefault="00000000" w:rsidRPr="00000000" w14:paraId="000000A9">
      <w:pPr>
        <w:spacing w:after="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after="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 Design</w:t>
      </w:r>
    </w:p>
    <w:p w:rsidR="00000000" w:rsidDel="00000000" w:rsidP="00000000" w:rsidRDefault="00000000" w:rsidRPr="00000000" w14:paraId="000000AB">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 Page Design</w:t>
      </w:r>
    </w:p>
    <w:tbl>
      <w:tblPr>
        <w:tblStyle w:val="Table9"/>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340"/>
        <w:tblGridChange w:id="0">
          <w:tblGrid>
            <w:gridCol w:w="720"/>
            <w:gridCol w:w="8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include a descriptive 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state the team name, team members’ names, and the submission date?</w:t>
            </w:r>
          </w:p>
        </w:tc>
      </w:tr>
    </w:tbl>
    <w:p w:rsidR="00000000" w:rsidDel="00000000" w:rsidP="00000000" w:rsidRDefault="00000000" w:rsidRPr="00000000" w14:paraId="000000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 Design</w:t>
      </w:r>
    </w:p>
    <w:tbl>
      <w:tblPr>
        <w:tblStyle w:val="Table10"/>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340"/>
        <w:tblGridChange w:id="0">
          <w:tblGrid>
            <w:gridCol w:w="705"/>
            <w:gridCol w:w="8340"/>
          </w:tblGrid>
        </w:tblGridChange>
      </w:tblGrid>
      <w:tr>
        <w:trPr>
          <w:cantSplit w:val="0"/>
          <w:trHeight w:val="121.4794921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Does it list all the major sections of the report with corresponding page numbers?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Do the page numbers and sections in the Table of Contents match the report? </w:t>
            </w:r>
          </w:p>
        </w:tc>
      </w:tr>
    </w:tbl>
    <w:p w:rsidR="00000000" w:rsidDel="00000000" w:rsidP="00000000" w:rsidRDefault="00000000" w:rsidRPr="00000000" w14:paraId="000000B6">
      <w:pPr>
        <w:spacing w:after="0"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Design for Entire Report</w:t>
      </w:r>
      <w:r w:rsidDel="00000000" w:rsidR="00000000" w:rsidRPr="00000000">
        <w:rPr>
          <w:rFonts w:ascii="Times New Roman" w:cs="Times New Roman" w:eastAsia="Times New Roman" w:hAnsi="Times New Roman"/>
          <w:rtl w:val="0"/>
        </w:rPr>
        <w:t xml:space="preserve"> </w:t>
      </w:r>
    </w:p>
    <w:tbl>
      <w:tblPr>
        <w:tblStyle w:val="Table11"/>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325"/>
        <w:tblGridChange w:id="0">
          <w:tblGrid>
            <w:gridCol w:w="720"/>
            <w:gridCol w:w="832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a standard typeface (Calibri, Arial, etc.) used?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size of the body text between 10-12 pt.?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headings and subheadings used to organize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distinctive text styles (bold, italic, etc.) used to distinguish between heading levels?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text styles for headings used consistently (ex: all level-one headings are bold)?</w:t>
            </w:r>
          </w:p>
        </w:tc>
      </w:tr>
      <w:tr>
        <w:trPr>
          <w:cantSplit w:val="0"/>
          <w:trHeight w:val="256.4794921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all paragraphs an appropriate length (fewer than 12 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white space used to indicate paragraph breaks?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bullet lists used for a series of items and numbered lists to show a hierarchy?</w:t>
            </w:r>
          </w:p>
        </w:tc>
      </w:tr>
    </w:tbl>
    <w:p w:rsidR="00000000" w:rsidDel="00000000" w:rsidP="00000000" w:rsidRDefault="00000000" w:rsidRPr="00000000" w14:paraId="000000C8">
      <w:pPr>
        <w:pStyle w:val="Heading1"/>
        <w:spacing w:after="0" w:before="0" w:line="276" w:lineRule="auto"/>
        <w:rPr>
          <w:rFonts w:ascii="Times New Roman" w:cs="Times New Roman" w:eastAsia="Times New Roman" w:hAnsi="Times New Roman"/>
          <w:b w:val="1"/>
          <w:smallCaps w:val="0"/>
          <w:sz w:val="10"/>
          <w:szCs w:val="10"/>
        </w:rPr>
      </w:pPr>
      <w:bookmarkStart w:colFirst="0" w:colLast="0" w:name="_heading=h.4i7ojhp" w:id="22"/>
      <w:bookmarkEnd w:id="22"/>
      <w:r w:rsidDel="00000000" w:rsidR="00000000" w:rsidRPr="00000000">
        <w:rPr>
          <w:rtl w:val="0"/>
        </w:rPr>
      </w:r>
    </w:p>
    <w:p w:rsidR="00000000" w:rsidDel="00000000" w:rsidP="00000000" w:rsidRDefault="00000000" w:rsidRPr="00000000" w14:paraId="000000C9">
      <w:pPr>
        <w:spacing w:after="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Writing Style and Mechanics</w:t>
      </w:r>
    </w:p>
    <w:p w:rsidR="00000000" w:rsidDel="00000000" w:rsidP="00000000" w:rsidRDefault="00000000" w:rsidRPr="00000000" w14:paraId="000000C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Spelling and Capitalization</w:t>
      </w:r>
    </w:p>
    <w:tbl>
      <w:tblPr>
        <w:tblStyle w:val="Table12"/>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265"/>
        <w:tblGridChange w:id="0">
          <w:tblGrid>
            <w:gridCol w:w="795"/>
            <w:gridCol w:w="82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spelling errors located and corrected?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E">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spelling consistent throughout (no switching between acceptable spellings)?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capitalization used appropriately (proper nouns,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capitalization of words consistent throughout the report?</w:t>
            </w:r>
          </w:p>
        </w:tc>
      </w:tr>
    </w:tbl>
    <w:p w:rsidR="00000000" w:rsidDel="00000000" w:rsidP="00000000" w:rsidRDefault="00000000" w:rsidRPr="00000000" w14:paraId="000000D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Grammar and Punctuation</w:t>
      </w:r>
    </w:p>
    <w:tbl>
      <w:tblPr>
        <w:tblStyle w:val="Table13"/>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265"/>
        <w:tblGridChange w:id="0">
          <w:tblGrid>
            <w:gridCol w:w="795"/>
            <w:gridCol w:w="82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verb tenses used appropriately?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marks of punctuation used appropriately?</w:t>
            </w:r>
          </w:p>
        </w:tc>
      </w:tr>
      <w:tr>
        <w:trPr>
          <w:cantSplit w:val="0"/>
          <w:trHeight w:val="251.4794921875045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subject-verb agreement used in every sentence?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grammar checker updated and are underlined grammar issues addressed? </w:t>
            </w:r>
          </w:p>
        </w:tc>
      </w:tr>
    </w:tbl>
    <w:p w:rsidR="00000000" w:rsidDel="00000000" w:rsidP="00000000" w:rsidRDefault="00000000" w:rsidRPr="00000000" w14:paraId="000000DC">
      <w:pPr>
        <w:spacing w:after="0" w:line="27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Style </w:t>
      </w:r>
    </w:p>
    <w:tbl>
      <w:tblPr>
        <w:tblStyle w:val="Table14"/>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250"/>
        <w:tblGridChange w:id="0">
          <w:tblGrid>
            <w:gridCol w:w="810"/>
            <w:gridCol w:w="82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all sentences in the report easy for your audience to understand quickly?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widowControl w:val="0"/>
              <w:spacing w:after="0" w:lineRule="auto"/>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most sentences written </w:t>
            </w:r>
            <w:r w:rsidDel="00000000" w:rsidR="00000000" w:rsidRPr="00000000">
              <w:rPr>
                <w:rFonts w:ascii="Times New Roman" w:cs="Times New Roman" w:eastAsia="Times New Roman" w:hAnsi="Times New Roman"/>
                <w:sz w:val="21"/>
                <w:szCs w:val="21"/>
                <w:rtl w:val="0"/>
              </w:rPr>
              <w:t xml:space="preserve">in active</w:t>
            </w:r>
            <w:r w:rsidDel="00000000" w:rsidR="00000000" w:rsidRPr="00000000">
              <w:rPr>
                <w:rFonts w:ascii="Times New Roman" w:cs="Times New Roman" w:eastAsia="Times New Roman" w:hAnsi="Times New Roman"/>
                <w:sz w:val="21"/>
                <w:szCs w:val="21"/>
                <w:rtl w:val="0"/>
              </w:rPr>
              <w:t xml:space="preserve"> voice?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3">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idioms and vague words eliminated from the report?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5">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acronyms introduced before being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well-written topic sentences included at the beginning of each paragraph?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9">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Are lists parallel?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widowControl w:val="0"/>
              <w:rPr>
                <w:rFonts w:ascii="Times New Roman" w:cs="Times New Roman" w:eastAsia="Times New Roman" w:hAnsi="Times New Roman"/>
                <w:sz w:val="21"/>
                <w:szCs w:val="2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widowControl w:val="0"/>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Is the appropriate point of view used when addressing your audience or describing team actions? </w:t>
            </w:r>
          </w:p>
        </w:tc>
      </w:tr>
    </w:tbl>
    <w:p w:rsidR="00000000" w:rsidDel="00000000" w:rsidP="00000000" w:rsidRDefault="00000000" w:rsidRPr="00000000" w14:paraId="000000EC">
      <w:pPr>
        <w:rPr/>
      </w:pPr>
      <w:r w:rsidDel="00000000" w:rsidR="00000000" w:rsidRPr="00000000">
        <w:rPr>
          <w:rtl w:val="0"/>
        </w:rPr>
      </w:r>
    </w:p>
    <w:sectPr>
      <w:footerReference r:id="rId18" w:type="default"/>
      <w:footerReference r:id="rId19" w:type="first"/>
      <w:type w:val="nextPage"/>
      <w:pgSz w:h="15840" w:w="12240" w:orient="portrait"/>
      <w:pgMar w:bottom="126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righ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after="0" w:line="276"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F3">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tab/>
      <w:tab/>
      <w:tab/>
    </w:r>
  </w:p>
  <w:p w:rsidR="00000000" w:rsidDel="00000000" w:rsidP="00000000" w:rsidRDefault="00000000" w:rsidRPr="00000000" w14:paraId="000000F5">
    <w:pPr>
      <w:jc w:val="right"/>
      <w:rPr/>
    </w:pPr>
    <w:r w:rsidDel="00000000" w:rsidR="00000000" w:rsidRPr="00000000">
      <w:rPr>
        <w:rtl w:val="0"/>
      </w:rPr>
    </w:r>
  </w:p>
  <w:p w:rsidR="00000000" w:rsidDel="00000000" w:rsidP="00000000" w:rsidRDefault="00000000" w:rsidRPr="00000000" w14:paraId="000000F6">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sz w:val="21"/>
        <w:szCs w:val="21"/>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after="0" w:line="276" w:lineRule="auto"/>
      <w:jc w:val="right"/>
      <w:rPr>
        <w:sz w:val="21"/>
        <w:szCs w:val="2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color="ff9900" w:space="1" w:sz="4" w:val="single"/>
        <w:right w:space="0" w:sz="0" w:val="nil"/>
        <w:between w:space="0" w:sz="0" w:val="nil"/>
      </w:pBdr>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Oil/Gas Exploration and Production - Phase 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color="94b6d2" w:space="1" w:sz="4" w:val="single"/>
        <w:right w:space="0" w:sz="0" w:val="nil"/>
        <w:between w:space="0" w:sz="0" w:val="nil"/>
      </w:pBdr>
      <w:spacing w:after="0" w:line="240" w:lineRule="auto"/>
      <w:rPr>
        <w:b w:val="1"/>
        <w:color w:val="775f55"/>
        <w:sz w:val="20"/>
        <w:szCs w:val="20"/>
      </w:rPr>
    </w:pPr>
    <w:r w:rsidDel="00000000" w:rsidR="00000000" w:rsidRPr="00000000">
      <w:rPr>
        <w:b w:val="1"/>
        <w:color w:val="775f55"/>
        <w:sz w:val="20"/>
        <w:szCs w:val="20"/>
        <w:rtl w:val="0"/>
      </w:rPr>
      <w:t xml:space="preserve">Title of report 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rFonts w:ascii="Arial" w:cs="Arial" w:eastAsia="Arial" w:hAnsi="Arial"/>
      <w:smallCaps w:val="1"/>
      <w:sz w:val="40"/>
      <w:szCs w:val="40"/>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1.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lzzKQOOv703goqv8/EgUl6pK3Q==">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