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da228718444ccac89d2e7ef9e164c8e73c9f72"/>
    <w:p>
      <w:pPr>
        <w:pStyle w:val="Heading1"/>
      </w:pPr>
      <w:r>
        <w:t xml:space="preserve">HAR versus Deep and Graph-Attention Models for Multi-Horizon Volatility Forecasting: A Panel-Correct Study on Vietnamese and U.S. Equities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study whether deep sequence models or a cross-sectional graph-attention branch can improve daily</w:t>
      </w:r>
      <w:r>
        <w:t xml:space="preserve"> </w:t>
      </w:r>
      <w:r>
        <w:t xml:space="preserve">Parkinson-variance forecasting over the Heterogeneous Autoregressive (HAR) baseline, and we evaluate them</w:t>
      </w:r>
      <w:r>
        <w:t xml:space="preserve"> </w:t>
      </w:r>
      <w:r>
        <w:t xml:space="preserve">with panel-correct inference. Three equity panels are used: VN30 (33 tickers) and VN100 (104 tickers) as the</w:t>
      </w:r>
      <w:r>
        <w:t xml:space="preserve"> </w:t>
      </w:r>
      <w:r>
        <w:t xml:space="preserve">Vietnamese case study, and a long-history S&amp;P 500 subset (457 tickers) as a data-rich cross-market check.</w:t>
      </w:r>
      <w:r>
        <w:t xml:space="preserve"> </w:t>
      </w:r>
      <w:r>
        <w:t xml:space="preserve">Against the classical baselines HAR and GARCH(1,1) we benchmark a pooled LSTM over the three HAR features</w:t>
      </w:r>
      <w:r>
        <w:t xml:space="preserve"> </w:t>
      </w:r>
      <w:r>
        <w:t xml:space="preserve">(daily, weekly and monthly Parkinson volatility), an LSTM with a Graph Attention Network branch over a</w:t>
      </w:r>
      <w:r>
        <w:t xml:space="preserve"> </w:t>
      </w:r>
      <w:r>
        <w:t xml:space="preserve">graphical-lasso partial-correlation graph, a frozen-expert convex HAR–deep combination, and HAR-anchored</w:t>
      </w:r>
      <w:r>
        <w:t xml:space="preserve"> </w:t>
      </w:r>
      <w:r>
        <w:t xml:space="preserve">residual models, at horizons {1, 5, 10, 22} with five random seeds. Statistical significance is assessed</w:t>
      </w:r>
      <w:r>
        <w:t xml:space="preserve"> </w:t>
      </w:r>
      <w:r>
        <w:t xml:space="preserve">with the date-clustered Diebold–Mariano test, which collapses the loss differential to one value per</w:t>
      </w:r>
      <w:r>
        <w:t xml:space="preserve"> </w:t>
      </w:r>
      <w:r>
        <w:t xml:space="preserve">calendar date; a naive per-observation test on a cross-sectionally dependent panel overstates significance</w:t>
      </w:r>
      <w:r>
        <w:t xml:space="preserve"> </w:t>
      </w:r>
      <w:r>
        <w:t xml:space="preserve">by a factor on the order of the square root of the cross-section size. Three findings follow. First, HAR is</w:t>
      </w:r>
      <w:r>
        <w:t xml:space="preserve"> </w:t>
      </w:r>
      <w:r>
        <w:t xml:space="preserve">very hard to beat on the small Vietnamese panels: under date-clustered inference no model — including the</w:t>
      </w:r>
      <w:r>
        <w:t xml:space="preserve"> </w:t>
      </w:r>
      <w:r>
        <w:t xml:space="preserve">forecast combination — significantly beats HAR at any horizon (the closest competitor reaches p = 0.08).</w:t>
      </w:r>
      <w:r>
        <w:t xml:space="preserve"> </w:t>
      </w:r>
      <w:r>
        <w:t xml:space="preserve">Second, on the large S&amp;P 500 the deep temporal LSTM (no graph) significantly beats HAR, by up to +7.1% QLIKE</w:t>
      </w:r>
      <w:r>
        <w:t xml:space="preserve"> </w:t>
      </w:r>
      <w:r>
        <w:t xml:space="preserve">at the twenty-two-day horizon (p&lt;0.001), and the convex combination beats HAR at all four horizons</w:t>
      </w:r>
      <w:r>
        <w:t xml:space="preserve"> </w:t>
      </w:r>
      <w:r>
        <w:t xml:space="preserve">(p&lt;0.001); deep-versus-HAR competitiveness grows with panel size. Third, the cross-sectional graph adds no</w:t>
      </w:r>
      <w:r>
        <w:t xml:space="preserve"> </w:t>
      </w:r>
      <w:r>
        <w:t xml:space="preserve">out-of-sample value on any panel: removing it never improves on the no-graph model, a leakage-safe linear</w:t>
      </w:r>
      <w:r>
        <w:t xml:space="preserve"> </w:t>
      </w:r>
      <w:r>
        <w:t xml:space="preserve">neighbour-signal regressor adds essentially zero incremental out-of-sample R², and diagnostics rule out a</w:t>
      </w:r>
      <w:r>
        <w:t xml:space="preserve"> </w:t>
      </w:r>
      <w:r>
        <w:t xml:space="preserve">software bug or overfitting. We report MSE, RMSE, MAE, QLIKE and R² together, because the model ranking is</w:t>
      </w:r>
      <w:r>
        <w:t xml:space="preserve"> </w:t>
      </w:r>
      <w:r>
        <w:t xml:space="preserve">metric- and panel-dependent, and 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remains a strong and parsimonious benchmark: three ordinary-least-squares</w:t>
      </w:r>
      <w:r>
        <w:t xml:space="preserve"> </w:t>
      </w:r>
      <w:r>
        <w:t xml:space="preserve">coefficients on daily, weekly and monthly aggregates of realized volatility capture much of the long-memory</w:t>
      </w:r>
      <w:r>
        <w:t xml:space="preserve"> </w:t>
      </w:r>
      <w:r>
        <w:t xml:space="preserve">structure of the series. Deep sequence models and graph neural networks are frequently proposed to capture</w:t>
      </w:r>
      <w:r>
        <w:t xml:space="preserve"> </w:t>
      </w:r>
      <w:r>
        <w:t xml:space="preserve">nonlinear temporal dynamics and cross-sectional volatility spillovers, but the evidence that they</w:t>
      </w:r>
      <w:r>
        <w:t xml:space="preserve"> </w:t>
      </w:r>
      <w:r>
        <w:t xml:space="preserve">out-of-sample beat HAR is mixed, and positive claims are often confounded by data design choices.</w:t>
      </w:r>
    </w:p>
    <w:p>
      <w:pPr>
        <w:pStyle w:val="BodyText"/>
      </w:pPr>
      <w:r>
        <w:t xml:space="preserve">This paper asks two direct questions for daily volatility forecasting, with the Vietnamese equity market as</w:t>
      </w:r>
      <w:r>
        <w:t xml:space="preserve"> </w:t>
      </w:r>
      <w:r>
        <w:t xml:space="preserve">the primary case study and a long-history U.S. S&amp;P 500 subset as a data-rich cross-market check:</w:t>
      </w:r>
    </w:p>
    <w:p>
      <w:pPr>
        <w:pStyle w:val="Compact"/>
        <w:numPr>
          <w:ilvl w:val="0"/>
          <w:numId w:val="1001"/>
        </w:numPr>
      </w:pPr>
      <w:r>
        <w:t xml:space="preserve">Can deep or HAR-anchored models — a pooled LSTM over the three HAR features, a convex HAR–deep</w:t>
      </w:r>
      <w:r>
        <w:t xml:space="preserve"> </w:t>
      </w:r>
      <w:r>
        <w:t xml:space="preserve">combination, or HAR-residual correctors — beat the HAR and GARCH baselines out of sample under</w:t>
      </w:r>
      <w:r>
        <w:t xml:space="preserve"> </w:t>
      </w:r>
      <w:r>
        <w:t xml:space="preserve">panel-correct inference, and at which horizons?</w:t>
      </w:r>
    </w:p>
    <w:p>
      <w:pPr>
        <w:pStyle w:val="Compact"/>
        <w:numPr>
          <w:ilvl w:val="0"/>
          <w:numId w:val="1001"/>
        </w:numPr>
      </w:pPr>
      <w:r>
        <w:t xml:space="preserve">Does adding a cross-sectional Graph Attention Network branch, with edges estimated by graphical lasso,</w:t>
      </w:r>
      <w:r>
        <w:t xml:space="preserve"> </w:t>
      </w:r>
      <w:r>
        <w:t xml:space="preserve">contribute any out-of-sample value beyond the same-capacity no-graph model?</w:t>
      </w:r>
    </w:p>
    <w:p>
      <w:pPr>
        <w:pStyle w:val="FirstParagraph"/>
      </w:pPr>
      <w:r>
        <w:t xml:space="preserve">Our contributions are: (i) a panel-correct multi-horizon benchmark of HAR against an LSTM, an LSTM-GAT, a</w:t>
      </w:r>
      <w:r>
        <w:t xml:space="preserve"> </w:t>
      </w:r>
      <w:r>
        <w:t xml:space="preserve">convex HAR–deep combination and HAR-anchored residual models on three panels, with statistical significance</w:t>
      </w:r>
      <w:r>
        <w:t xml:space="preserve"> </w:t>
      </w:r>
      <w:r>
        <w:t xml:space="preserve">assessed by the date-clustered Diebold–Mariano test — because a naive per-observation test overstates</w:t>
      </w:r>
      <w:r>
        <w:t xml:space="preserve"> </w:t>
      </w:r>
      <w:r>
        <w:t xml:space="preserve">significance by a factor on the order of the square root of the cross-section size on this</w:t>
      </w:r>
      <w:r>
        <w:t xml:space="preserve"> </w:t>
      </w:r>
      <w:r>
        <w:t xml:space="preserve">cross-sectionally dependent panel; (ii) the main empirical finding that HAR is not significantly beaten on</w:t>
      </w:r>
      <w:r>
        <w:t xml:space="preserve"> </w:t>
      </w:r>
      <w:r>
        <w:t xml:space="preserve">the small Vietnamese panels, whereas on the data-rich S&amp;P 500 the deep temporal LSTM significantly beats HAR</w:t>
      </w:r>
      <w:r>
        <w:t xml:space="preserve"> </w:t>
      </w:r>
      <w:r>
        <w:t xml:space="preserve">(up to +7.1% QLIKE at the twenty-two-day horizon) and the convex combination beats it at every horizon, so</w:t>
      </w:r>
      <w:r>
        <w:t xml:space="preserve"> </w:t>
      </w:r>
      <w:r>
        <w:t xml:space="preserve">deep-versus-HAR competitiveness scales with the amount of data; (iii) a model-free demonstration that the</w:t>
      </w:r>
      <w:r>
        <w:t xml:space="preserve"> </w:t>
      </w:r>
      <w:r>
        <w:t xml:space="preserve">cross-sectional graph adds no out-of-sample value on any panel, with mechanistic evidence that this is a</w:t>
      </w:r>
      <w:r>
        <w:t xml:space="preserve"> </w:t>
      </w:r>
      <w:r>
        <w:t xml:space="preserve">genuine null rather than a bug or overfitting; and (iv) per-metric fairness — reporting MSE, RMSE, MAE,</w:t>
      </w:r>
      <w:r>
        <w:t xml:space="preserve"> </w:t>
      </w:r>
      <w:r>
        <w:t xml:space="preserve">QLIKE and R² together and showing that the ranking is metric- and panel-dependent. Every number reported</w:t>
      </w:r>
      <w:r>
        <w:t xml:space="preserve"> </w:t>
      </w:r>
      <w:r>
        <w:t xml:space="preserve">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It is a demanding baseline: recent machine-learning work reports that rolling-window and</w:t>
      </w:r>
      <w:r>
        <w:t xml:space="preserve"> </w:t>
      </w:r>
      <w:r>
        <w:t xml:space="preserve">specification choices, rather than model class, often drive apparent gains over HAR (Audrino and Chassot,</w:t>
      </w:r>
      <w:r>
        <w:t xml:space="preserve"> </w:t>
      </w:r>
      <w:r>
        <w:t xml:space="preserve">2025). Extensions such as HARQ (Bollerslev, Patton and Quaedvlieg, 2016) exploit measurement error, and</w:t>
      </w:r>
      <w:r>
        <w:t xml:space="preserve"> </w:t>
      </w:r>
      <w:r>
        <w:t xml:space="preserve">GARCH-family models (Bollerslev) remain standard conditional-variance benchmarks. We use HAR and GARCH(1,1)</w:t>
      </w:r>
      <w:r>
        <w:t xml:space="preserve"> </w:t>
      </w:r>
      <w:r>
        <w:t xml:space="preserve">as the two baselines</w:t>
      </w:r>
      <w:r>
        <w:t xml:space="preserve"> </w:t>
      </w:r>
      <w:r>
        <w:t xml:space="preserve">“to be beaten”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Evidence is mixed: some studies</w:t>
      </w:r>
      <w:r>
        <w:t xml:space="preserve"> </w:t>
      </w:r>
      <w:r>
        <w:t xml:space="preserve">report gains, while others find graph or deep components add little out-of-sample value once a strong HAR</w:t>
      </w:r>
      <w:r>
        <w:t xml:space="preserve"> </w:t>
      </w:r>
      <w:r>
        <w:t xml:space="preserve">baseline and honest testing are in place. Volatility spillover measurement itself has a long econometric</w:t>
      </w:r>
      <w:r>
        <w:t xml:space="preserve"> </w:t>
      </w:r>
      <w:r>
        <w:t xml:space="preserve">tradition (Diebold and 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A common design choice is the graph edge set. Rather than a raw correlation graph,</w:t>
      </w:r>
      <w:r>
        <w:t xml:space="preserve"> </w:t>
      </w:r>
      <w:r>
        <w:t xml:space="preserve">which is dominated by a market factor, we estimate a sparse partial-correlation graph with graphical lasso</w:t>
      </w:r>
      <w:r>
        <w:t xml:space="preserve"> </w:t>
      </w:r>
      <w:r>
        <w:t xml:space="preserve">(Friedman, Hastie and Tibshirani, 2008) on training rows only, which is a standard robust choice for</w:t>
      </w:r>
      <w:r>
        <w:t xml:space="preserve"> </w:t>
      </w:r>
      <w:r>
        <w:t xml:space="preserve">conditional dependence structure.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20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 </w:t>
      </w:r>
      <w:r>
        <w:t xml:space="preserve">for horizons</w:t>
      </w:r>
      <w:r>
        <w:t xml:space="preserve"> </w:t>
      </w:r>
      <w:r>
        <w:rPr>
          <w:rStyle w:val="VerbatimChar"/>
        </w:rPr>
        <w:t xml:space="preserve">h ∈ {1, 5, 10, 22}</w:t>
      </w:r>
      <w:r>
        <w:t xml:space="preserve"> </w:t>
      </w:r>
      <w:r>
        <w:t xml:space="preserve">in the primary date-clustered study (one trading day, one trading week, two weeks and</w:t>
      </w:r>
      <w:r>
        <w:t xml:space="preserve"> </w:t>
      </w:r>
      <w:r>
        <w:t xml:space="preserve">roughly one trading month ahead); the descriptive per-observation and snapshot studies use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. The</w:t>
      </w:r>
      <w:r>
        <w:t xml:space="preserve"> </w:t>
      </w:r>
      <w:r>
        <w:t xml:space="preserve">target is a non-negative point forecast. Following HAR, we</w:t>
      </w:r>
      <w:r>
        <w:t xml:space="preserve"> </w:t>
      </w:r>
      <w:r>
        <w:t xml:space="preserve">use three features per node (ticker): the daily Parkinson variance at</w:t>
      </w:r>
      <w:r>
        <w:t xml:space="preserve"> </w:t>
      </w:r>
      <w:r>
        <w:rPr>
          <w:rStyle w:val="VerbatimChar"/>
        </w:rPr>
        <w:t xml:space="preserve">t</w:t>
      </w:r>
      <w:r>
        <w:t xml:space="preserve">, its 5-day rolling mean (weekly)</w:t>
      </w:r>
      <w:r>
        <w:t xml:space="preserve"> </w:t>
      </w:r>
      <w:r>
        <w:t xml:space="preserve">and its 22-day rolling mean (monthly). The same three features drive every model, so differences reflect</w:t>
      </w:r>
      <w:r>
        <w:t xml:space="preserve"> </w:t>
      </w:r>
      <w:r>
        <w:t xml:space="preserve">the functional form, not the information set. Per the experiment specification, no additional technical or</w:t>
      </w:r>
      <w:r>
        <w:t xml:space="preserve"> </w:t>
      </w:r>
      <w:r>
        <w:t xml:space="preserve">news features are used.</w:t>
      </w:r>
    </w:p>
    <w:bookmarkEnd w:id="12"/>
    <w:bookmarkStart w:id="13" w:name="main-model-per-observation-lstm"/>
    <w:p>
      <w:pPr>
        <w:pStyle w:val="Heading3"/>
      </w:pPr>
      <w:r>
        <w:t xml:space="preserve">3.2 Main model: per-observation LSTM</w:t>
      </w:r>
    </w:p>
    <w:p>
      <w:pPr>
        <w:pStyle w:val="FirstParagraph"/>
      </w:pPr>
      <w:r>
        <w:t xml:space="preserve">The main model, referred to simply as</w:t>
      </w:r>
      <w:r>
        <w:t xml:space="preserve"> </w:t>
      </w:r>
      <w:r>
        <w:rPr>
          <w:b/>
          <w:bCs/>
        </w:rPr>
        <w:t xml:space="preserve">LSTM</w:t>
      </w:r>
      <w:r>
        <w:t xml:space="preserve">, is a two-layer LSTM (hidden size 64) applied to the</w:t>
      </w:r>
      <w:r>
        <w:t xml:space="preserve"> </w:t>
      </w:r>
      <w:r>
        <w:t xml:space="preserve">lookback window of the three HAR features. A single pooled model is trained over all tickers. Each ticker</w:t>
      </w:r>
      <w:r>
        <w:t xml:space="preserve"> </w:t>
      </w:r>
      <w:r>
        <w:t xml:space="preserve">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layer is linear (no</w:t>
      </w:r>
      <w:r>
        <w:t xml:space="preserve"> </w:t>
      </w:r>
      <w:r>
        <w:t xml:space="preserve">non-negativity activation), and predictions are inverse-transformed to the physical scale for evaluation,</w:t>
      </w:r>
      <w:r>
        <w:t xml:space="preserve"> </w:t>
      </w:r>
      <w:r>
        <w:t xml:space="preserve">following the project’s established normalization pattern. Overfitting is controlled with dropout, weight</w:t>
      </w:r>
      <w:r>
        <w:t xml:space="preserve"> </w:t>
      </w:r>
      <w:r>
        <w:t xml:space="preserve">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stopping.</w:t>
      </w:r>
    </w:p>
    <w:p>
      <w:pPr>
        <w:pStyle w:val="BodyText"/>
      </w:pPr>
      <w:r>
        <w:t xml:space="preserve">Crucially, the training examples are formed by</w:t>
      </w:r>
      <w:r>
        <w:t xml:space="preserve"> </w:t>
      </w:r>
      <w:r>
        <w:rPr>
          <w:b/>
          <w:bCs/>
        </w:rPr>
        <w:t xml:space="preserve">per-observation pooling</w:t>
      </w:r>
      <w:r>
        <w:t xml:space="preserve">: every (ticker, window) pair in</w:t>
      </w:r>
      <w:r>
        <w:t xml:space="preserve"> </w:t>
      </w:r>
      <w:r>
        <w:t xml:space="preserve">the training span is an independent training example, and the chronological 80/10/10 split is applied</w:t>
      </w:r>
      <w:r>
        <w:t xml:space="preserve"> </w:t>
      </w:r>
      <w:r>
        <w:rPr>
          <w:b/>
          <w:bCs/>
        </w:rPr>
        <w:t xml:space="preserve">within each ticker’s own history</w:t>
      </w:r>
      <w:r>
        <w:t xml:space="preserve">. This yields tens of thousands of training windows (about 84,000 for</w:t>
      </w:r>
      <w:r>
        <w:t xml:space="preserve"> </w:t>
      </w:r>
      <w:r>
        <w:t xml:space="preserve">VN30) and interleaves every ticker’s regimes, rather than restricting attention to calendar dates on which</w:t>
      </w:r>
      <w:r>
        <w:t xml:space="preserve"> </w:t>
      </w:r>
      <w:r>
        <w:t xml:space="preserve">all tickers are simultaneously present.</w:t>
      </w:r>
    </w:p>
    <w:bookmarkEnd w:id="13"/>
    <w:bookmarkStart w:id="17" w:name="graph-attention-variant-lstmgat-ablation"/>
    <w:p>
      <w:pPr>
        <w:pStyle w:val="Heading3"/>
      </w:pPr>
      <w:r>
        <w:t xml:space="preserve">3.3 Graph-attention variant: LSTM+GAT (ablation)</w:t>
      </w:r>
    </w:p>
    <w:p>
      <w:pPr>
        <w:pStyle w:val="FirstParagraph"/>
      </w:pPr>
      <w:r>
        <w:t xml:space="preserve">To test whether a cross-sectional graph helps, we add a Graph Attention Network branch (Veličković et al.,</w:t>
      </w:r>
      <w:r>
        <w:t xml:space="preserve"> </w:t>
      </w:r>
      <w:r>
        <w:t xml:space="preserve">2018), producing the full</w:t>
      </w:r>
      <w:r>
        <w:t xml:space="preserve"> </w:t>
      </w:r>
      <w:r>
        <w:rPr>
          <w:b/>
          <w:bCs/>
        </w:rPr>
        <w:t xml:space="preserve">LSTM+GAT</w:t>
      </w:r>
      <w:r>
        <w:t xml:space="preserve"> </w:t>
      </w:r>
      <w:r>
        <w:t xml:space="preserve">model (Figure 1). A</w:t>
      </w:r>
      <w:r>
        <w:t xml:space="preserve"> </w:t>
      </w:r>
      <w:r>
        <w:t xml:space="preserve">per-node LSTM encodes the temporal window (temporal branch); a GAT reads the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</w:t>
      </w:r>
      <w:r>
        <w:t xml:space="preserve"> </w:t>
      </w:r>
      <w:r>
        <w:t xml:space="preserve">attends over a fixed graph whose edges are the Top-5 graphical-lasso partial-correlation links estimated on</w:t>
      </w:r>
      <w:r>
        <w:t xml:space="preserve"> </w:t>
      </w:r>
      <w:r>
        <w:t xml:space="preserve">training rows only and frozen (spatial branch); the two branch outputs are concatenated and passed to an</w:t>
      </w:r>
      <w:r>
        <w:t xml:space="preserve"> </w:t>
      </w:r>
      <w:r>
        <w:t xml:space="preserve">MLP head. The leave-one-out ablation</w:t>
      </w:r>
      <w:r>
        <w:t xml:space="preserve"> </w:t>
      </w:r>
      <w:r>
        <w:rPr>
          <w:b/>
          <w:bCs/>
        </w:rPr>
        <w:t xml:space="preserve">LSTM (w/o GAT)</w:t>
      </w:r>
      <w:r>
        <w:t xml:space="preserve"> </w:t>
      </w:r>
      <w:r>
        <w:t xml:space="preserve">removes the spatial branch, isolating the graph’s</w:t>
      </w:r>
      <w:r>
        <w:t xml:space="preserve"> </w:t>
      </w:r>
      <w:r>
        <w:t xml:space="preserve">marginal contribution.</w:t>
      </w:r>
    </w:p>
    <w:p>
      <w:pPr>
        <w:pStyle w:val="BodyText"/>
      </w:pPr>
      <w:r>
        <w:t xml:space="preserve">Because a GAT operates over a cross-section of nodes at a common date, the LSTM+GAT variant requires a</w:t>
      </w:r>
      <w:r>
        <w:t xml:space="preserve"> </w:t>
      </w:r>
      <w:r>
        <w:rPr>
          <w:b/>
          <w:bCs/>
        </w:rPr>
        <w:t xml:space="preserve">common-date snapshot</w:t>
      </w:r>
      <w:r>
        <w:t xml:space="preserve"> </w:t>
      </w:r>
      <w:r>
        <w:t xml:space="preserve">design: only dates on which all nodes are present are kept, with a single global</w:t>
      </w:r>
      <w:r>
        <w:t xml:space="preserve"> </w:t>
      </w:r>
      <w:r>
        <w:t xml:space="preserve">chronological 80/10/10 split. We therefore report the graph ablation as a</w:t>
      </w:r>
      <w:r>
        <w:t xml:space="preserve"> </w:t>
      </w:r>
      <w:r>
        <w:rPr>
          <w:b/>
          <w:bCs/>
        </w:rPr>
        <w:t xml:space="preserve">separate study</w:t>
      </w:r>
      <w:r>
        <w:t xml:space="preserve"> </w:t>
      </w:r>
      <w:r>
        <w:t xml:space="preserve">on this</w:t>
      </w:r>
      <w:r>
        <w:t xml:space="preserve"> </w:t>
      </w:r>
      <w:r>
        <w:t xml:space="preserve">snapshot design, and keep the main deep-versus-HAR comparison on the richer per-observation design. This</w:t>
      </w:r>
      <w:r>
        <w:t xml:space="preserve"> </w:t>
      </w:r>
      <w:r>
        <w:t xml:space="preserve">separation is deliberate: it prevents the graph’s data-design requirement from confounding the deep-versus-HAR</w:t>
      </w:r>
      <w:r>
        <w:t xml:space="preserve"> </w:t>
      </w:r>
      <w:r>
        <w:t xml:space="preserve">verdict.</w:t>
      </w:r>
    </w:p>
    <w:p>
      <w:pPr>
        <w:pStyle w:val="CaptionedFigure"/>
      </w:pPr>
      <w:r>
        <w:drawing>
          <wp:inline>
            <wp:extent cx="5334000" cy="2041722"/>
            <wp:effectExtent b="0" l="0" r="0" t="0"/>
            <wp:docPr descr="Figure 1: HAR-LSTM-GAT architecture" title="" id="15" name="Picture"/>
            <a:graphic>
              <a:graphicData uri="http://schemas.openxmlformats.org/drawingml/2006/picture">
                <pic:pic>
                  <pic:nvPicPr>
                    <pic:cNvPr descr="diagrams/soict_harlstmga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1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over a</w:t>
      </w:r>
      <w:r>
        <w:rPr>
          <w:i/>
          <w:iCs/>
        </w:rPr>
        <w:t xml:space="preserve"> </w:t>
      </w:r>
      <w:r>
        <w:rPr>
          <w:i/>
          <w:iCs/>
        </w:rPr>
        <w:t xml:space="preserve">graphical-lasso partial-correlation graph are concatenated and passed to an MLP head; the leave-one-out</w:t>
      </w:r>
      <w:r>
        <w:rPr>
          <w:i/>
          <w:iCs/>
        </w:rPr>
        <w:t xml:space="preserve"> </w:t>
      </w:r>
      <w:r>
        <w:rPr>
          <w:i/>
          <w:iCs/>
        </w:rPr>
        <w:t xml:space="preserve">ablation removes the GAT branch to give the main LSTM.</w:t>
      </w:r>
    </w:p>
    <w:bookmarkEnd w:id="17"/>
    <w:bookmarkStart w:id="18" w:name="baselines-to-beat"/>
    <w:p>
      <w:pPr>
        <w:pStyle w:val="Heading3"/>
      </w:pPr>
      <w:r>
        <w:t xml:space="preserve">3.4 Baselines to beat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: pooled ordinary-least-squares regression on the three HAR features, refit on the same training</w:t>
      </w:r>
      <w:r>
        <w:t xml:space="preserve"> </w:t>
      </w:r>
      <w:r>
        <w:t xml:space="preserve">rows the deep models see.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per-ticker conditional-variance model, the classical volatility benchmark.</w:t>
      </w:r>
    </w:p>
    <w:bookmarkEnd w:id="18"/>
    <w:bookmarkStart w:id="19" w:name="training-and-evaluation-protocol"/>
    <w:p>
      <w:pPr>
        <w:pStyle w:val="Heading3"/>
      </w:pPr>
      <w:r>
        <w:t xml:space="preserve">3.5 Training and evaluation protocol</w:t>
      </w:r>
    </w:p>
    <w:p>
      <w:pPr>
        <w:pStyle w:val="FirstParagraph"/>
      </w:pPr>
      <w:r>
        <w:t xml:space="preserve">Each configuration is run with five seeds {42, 123, 2026, 7, 2024}, up to 20 epochs with early stopping, on</w:t>
      </w:r>
      <w:r>
        <w:t xml:space="preserve"> </w:t>
      </w:r>
      <w:r>
        <w:t xml:space="preserve">GPU with parallel data workers; learning curves are recorded every five epochs. We report five metrics —</w:t>
      </w:r>
      <w:r>
        <w:t xml:space="preserve"> </w:t>
      </w:r>
      <w:r>
        <w:t xml:space="preserve">MSE, RMSE, MAE, QLIKE and R² — seed-averaged over the test set, with a shared QLIKE positivity floor of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applied identically to every model. The primary decision metric is QLIKE, which is robust to the</w:t>
      </w:r>
      <w:r>
        <w:t xml:space="preserve"> </w:t>
      </w:r>
      <w:r>
        <w:t xml:space="preserve">volatility proxy (Patton, 2011).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Diebold–Mariano statistic is</w:t>
      </w:r>
      <w:r>
        <w:t xml:space="preserve"> </w:t>
      </w:r>
      <w:r>
        <w:t xml:space="preserve">computed, with the 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</w:t>
      </w:r>
      <w:r>
        <w:t xml:space="preserve"> </w:t>
      </w:r>
      <w:r>
        <w:t xml:space="preserve">panel-correct treatment for a cross-section in which all tickers share each trading date; a naive</w:t>
      </w:r>
      <w:r>
        <w:t xml:space="preserve"> </w:t>
      </w:r>
      <w:r>
        <w:t xml:space="preserve">per-observation Diebold–Mariano test over every (ticker, date) row treats the effective sample as the</w:t>
      </w:r>
      <w:r>
        <w:t xml:space="preserve"> </w:t>
      </w:r>
      <w:r>
        <w:t xml:space="preserve">number of tickers times the number of dates, understates the loss-differential variance, and inflates the</w:t>
      </w:r>
      <w:r>
        <w:t xml:space="preserve"> </w:t>
      </w:r>
      <w:r>
        <w:t xml:space="preserve">statistic by a factor on the order of the square root of the cross-section size (roughly six on VN30 and ten</w:t>
      </w:r>
      <w:r>
        <w:t xml:space="preserve"> </w:t>
      </w:r>
      <w:r>
        <w:t xml:space="preserve">on VN100). All significance statements in this paper use the date-clustered test unless a result is</w:t>
      </w:r>
      <w:r>
        <w:t xml:space="preserve"> </w:t>
      </w:r>
      <w:r>
        <w:t xml:space="preserve">explicitly labelled per-observation. A positive dQLIKE% denotes a QLIKE improvement over HAR.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Three equity panels are used, all with the Parkinson variance target and the three HAR features: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 500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  <w:tc>
          <w:tcPr/>
          <w:p>
            <w:pPr>
              <w:pStyle w:val="Compact"/>
            </w:pPr>
            <w:r>
              <w:t xml:space="preserve">Cross-market robustness (U.S.)</w:t>
            </w:r>
          </w:p>
        </w:tc>
        <w:tc>
          <w:tcPr/>
          <w:p>
            <w:pPr>
              <w:pStyle w:val="Compact"/>
            </w:pPr>
            <w:r>
              <w:t xml:space="preserve">Yahoo (gitignored; only aggregate metrics stored)</w:t>
            </w:r>
          </w:p>
        </w:tc>
      </w:tr>
    </w:tbl>
    <w:p>
      <w:pPr>
        <w:pStyle w:val="BodyText"/>
      </w:pPr>
      <w:r>
        <w:t xml:space="preserve">The per-observation main study uses per-ticker chronological 80/10/10 splits (train precedes validation</w:t>
      </w:r>
      <w:r>
        <w:t xml:space="preserve"> </w:t>
      </w:r>
      <w:r>
        <w:t xml:space="preserve">precedes test within each ticker), per-ticker standardization fit on training rows only, and a single</w:t>
      </w:r>
      <w:r>
        <w:t xml:space="preserve"> </w:t>
      </w:r>
      <w:r>
        <w:t xml:space="preserve">pooled model. The graph-ablation study uses common-date fixed-node snapshots with a global chronological</w:t>
      </w:r>
      <w:r>
        <w:t xml:space="preserve"> </w:t>
      </w:r>
      <w:r>
        <w:t xml:space="preserve">80/10/10 split. The S&amp;P 500 constituent list is the current membership, so U.S. results carry survivorship</w:t>
      </w:r>
      <w:r>
        <w:t xml:space="preserve"> </w:t>
      </w:r>
      <w:r>
        <w:t xml:space="preserve">bias in level; the short-versus-long horizon ordering, not the absolute level, is what we claim transfers.</w:t>
      </w:r>
    </w:p>
    <w:p>
      <w:r>
        <w:pict>
          <v:rect style="width:0;height:1.5pt" o:hralign="center" o:hrstd="t" o:hr="t"/>
        </w:pict>
      </w:r>
    </w:p>
    <w:bookmarkEnd w:id="21"/>
    <w:bookmarkStart w:id="22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run five studies, all on the same three HAR features across VN30, VN100 and the S&amp;P 500 subset: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Primary: HAR-anchored ladder (E0–E10) under date-clustered inference</w:t>
      </w:r>
      <w:r>
        <w:t xml:space="preserve"> </w:t>
      </w:r>
      <w:r>
        <w:t xml:space="preserve">(Section 6.6) — HAR versus the</w:t>
      </w:r>
      <w:r>
        <w:t xml:space="preserve"> </w:t>
      </w:r>
      <w:r>
        <w:t xml:space="preserve">full-target LSTM, the full-target LSTM+GAT, the convex HAR–deep combination, and additive/multiplicative</w:t>
      </w:r>
      <w:r>
        <w:t xml:space="preserve"> </w:t>
      </w:r>
      <w:r>
        <w:t xml:space="preserve">HAR-anchored residual and gate models, at horizons 1, 5, 10 and 22, with all beat-HAR verdicts by the</w:t>
      </w:r>
      <w:r>
        <w:t xml:space="preserve"> </w:t>
      </w:r>
      <w:r>
        <w:t xml:space="preserve">date-clustered Diebold–Mariano test. This is the source of the paper’s headline results.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comparison: LSTM versus HAR and GARCH</w:t>
      </w:r>
      <w:r>
        <w:t xml:space="preserve"> </w:t>
      </w:r>
      <w:r>
        <w:t xml:space="preserve">on the per-observation per-stock design (lookback 10;</w:t>
      </w:r>
      <w:r>
        <w:t xml:space="preserve"> </w:t>
      </w:r>
      <w:r>
        <w:t xml:space="preserve">horizons 1 and 5), reporting point estimates and naive per-observation statistics (Section 6.1).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Graph-check ablation</w:t>
      </w:r>
      <w:r>
        <w:t xml:space="preserve"> </w:t>
      </w:r>
      <w:r>
        <w:t xml:space="preserve">LSTM+GAT versus LSTM (w/o GAT) on the common-date snapshot design (lookback 10,</w:t>
      </w:r>
      <w:r>
        <w:t xml:space="preserve"> </w:t>
      </w:r>
      <w:r>
        <w:t xml:space="preserve">horizons 1 and 5), with HAR and GARCH for reference (Section 6.2).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Lookback variation</w:t>
      </w:r>
      <w:r>
        <w:t xml:space="preserve"> </w:t>
      </w:r>
      <w:r>
        <w:t xml:space="preserve">(10 versus 22) for the snapshot design on VN30 (Section 6.3).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Model-free graph screening</w:t>
      </w:r>
      <w:r>
        <w:t xml:space="preserve"> </w:t>
      </w:r>
      <w:r>
        <w:t xml:space="preserve">(Section 6.7) — a leakage-safe, architecture-independent test of whether</w:t>
      </w:r>
      <w:r>
        <w:t xml:space="preserve"> </w:t>
      </w:r>
      <w:r>
        <w:t xml:space="preserve">any cross-stock neighbour signal adds out-of-sample value beyond HAR.</w:t>
      </w:r>
    </w:p>
    <w:p>
      <w:r>
        <w:pict>
          <v:rect style="width:0;height:1.5pt" o:hralign="center" o:hrstd="t" o:hr="t"/>
        </w:pict>
      </w:r>
    </w:p>
    <w:bookmarkEnd w:id="22"/>
    <w:bookmarkStart w:id="30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Volatility magnitudes are small (Parkinson variance is of order</w:t>
      </w:r>
      <w:r>
        <w:t xml:space="preserve"> </w:t>
      </w:r>
      <w:r>
        <w:rPr>
          <w:rStyle w:val="VerbatimChar"/>
        </w:rPr>
        <w:t xml:space="preserve">1e-7</w:t>
      </w:r>
      <w:r>
        <w:t xml:space="preserve">), so MSE, RMSE and MAE are reported</w:t>
      </w:r>
      <w:r>
        <w:t xml:space="preserve"> </w:t>
      </w:r>
      <w:r>
        <w:t xml:space="preserve">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 ×10⁻⁴</w:t>
      </w:r>
      <w:r>
        <w:t xml:space="preserve">. QLIKE and R² are</w:t>
      </w:r>
      <w:r>
        <w:t xml:space="preserve"> </w:t>
      </w:r>
      <w:r>
        <w:t xml:space="preserve">unscaled. Row order in every table follows the baselines-first convention: HAR → GARCH → LSTM (and, for the</w:t>
      </w:r>
      <w:r>
        <w:t xml:space="preserve"> </w:t>
      </w:r>
      <w:r>
        <w:t xml:space="preserve">graph study, HAR → GARCH → LSTM (w/o GAT) → LSTM+GAT). All values are the five-seed test-set means from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files, with the design stated in each table caption.</w:t>
      </w:r>
    </w:p>
    <w:p>
      <w:pPr>
        <w:pStyle w:val="BodyText"/>
      </w:pPr>
      <w:r>
        <w:rPr>
          <w:b/>
          <w:bCs/>
        </w:rPr>
        <w:t xml:space="preserve">Primary results and inference convention.</w:t>
      </w:r>
      <w:r>
        <w:t xml:space="preserve"> </w:t>
      </w:r>
      <w:r>
        <w:t xml:space="preserve">The primary results of the paper are the panel-correct,</w:t>
      </w:r>
      <w:r>
        <w:t xml:space="preserve"> </w:t>
      </w:r>
      <w:r>
        <w:t xml:space="preserve">multi-horizon, date-clustered study of Section 6.6, which compares HAR against the LSTM, the LSTM+GAT, the</w:t>
      </w:r>
      <w:r>
        <w:t xml:space="preserve"> </w:t>
      </w:r>
      <w:r>
        <w:t xml:space="preserve">convex combination and the HAR-anchored residual models on all three panels at horizons {1, 5, 10, 22}. All</w:t>
      </w:r>
      <w:r>
        <w:t xml:space="preserve"> </w:t>
      </w:r>
      <w:r>
        <w:t xml:space="preserve">beat-HAR significance claims in the paper are date-clustered. Sections 6.1–6.5 report point-estimate tables</w:t>
      </w:r>
      <w:r>
        <w:t xml:space="preserve"> </w:t>
      </w:r>
      <w:r>
        <w:t xml:space="preserve">(all five metrics) and descriptive per-observation Diebold–Mariano statistics that isolate design and</w:t>
      </w:r>
      <w:r>
        <w:t xml:space="preserve"> </w:t>
      </w:r>
      <w:r>
        <w:t xml:space="preserve">lookback effects; the per-observation statistics are retained only to expose the inference artifact and are</w:t>
      </w:r>
      <w:r>
        <w:t xml:space="preserve"> </w:t>
      </w:r>
      <w:r>
        <w:t xml:space="preserve">not used for beat-HAR claims (see the methodological note in Section 6.6).</w:t>
      </w:r>
    </w:p>
    <w:bookmarkStart w:id="23" w:name="Xfc70a1b53c450a8c5a06529e1ec1091f22fdb2c"/>
    <w:p>
      <w:pPr>
        <w:pStyle w:val="Heading3"/>
      </w:pPr>
      <w:r>
        <w:t xml:space="preserve">6.1 Main study — per-observation LSTM (design: per-observation, per-stock 80/10/10)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results/soict_perobs/{panel}_lb10_h{1,5}/result.json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VN30 (33 tickers; test n = 10,577 at h1, 10,564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2.2449</w:t>
            </w:r>
          </w:p>
        </w:tc>
        <w:tc>
          <w:tcPr/>
          <w:p>
            <w:pPr>
              <w:pStyle w:val="Compact"/>
            </w:pPr>
            <w:r>
              <w:t xml:space="preserve">4.7380</w:t>
            </w:r>
          </w:p>
        </w:tc>
        <w:tc>
          <w:tcPr/>
          <w:p>
            <w:pPr>
              <w:pStyle w:val="Compact"/>
            </w:pPr>
            <w:r>
              <w:t xml:space="preserve">2.7467</w:t>
            </w:r>
          </w:p>
        </w:tc>
        <w:tc>
          <w:tcPr/>
          <w:p>
            <w:pPr>
              <w:pStyle w:val="Compact"/>
            </w:pPr>
            <w:r>
              <w:t xml:space="preserve">0.4675</w:t>
            </w:r>
          </w:p>
        </w:tc>
        <w:tc>
          <w:tcPr/>
          <w:p>
            <w:pPr>
              <w:pStyle w:val="Compact"/>
            </w:pPr>
            <w:r>
              <w:t xml:space="preserve">0.2892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3.4119</w:t>
            </w:r>
          </w:p>
        </w:tc>
        <w:tc>
          <w:tcPr/>
          <w:p>
            <w:pPr>
              <w:pStyle w:val="Compact"/>
            </w:pPr>
            <w:r>
              <w:t xml:space="preserve">5.8411</w:t>
            </w:r>
          </w:p>
        </w:tc>
        <w:tc>
          <w:tcPr/>
          <w:p>
            <w:pPr>
              <w:pStyle w:val="Compact"/>
            </w:pPr>
            <w:r>
              <w:t xml:space="preserve">3.8013</w:t>
            </w:r>
          </w:p>
        </w:tc>
        <w:tc>
          <w:tcPr/>
          <w:p>
            <w:pPr>
              <w:pStyle w:val="Compact"/>
            </w:pPr>
            <w:r>
              <w:t xml:space="preserve">0.7434</w:t>
            </w:r>
          </w:p>
        </w:tc>
        <w:tc>
          <w:tcPr/>
          <w:p>
            <w:pPr>
              <w:pStyle w:val="Compact"/>
            </w:pPr>
            <w:r>
              <w:t xml:space="preserve">-0.0804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2.2360</w:t>
            </w:r>
          </w:p>
        </w:tc>
        <w:tc>
          <w:tcPr/>
          <w:p>
            <w:pPr>
              <w:pStyle w:val="Compact"/>
            </w:pPr>
            <w:r>
              <w:t xml:space="preserve">4.7286</w:t>
            </w:r>
          </w:p>
        </w:tc>
        <w:tc>
          <w:tcPr/>
          <w:p>
            <w:pPr>
              <w:pStyle w:val="Compact"/>
            </w:pPr>
            <w:r>
              <w:t xml:space="preserve">2.6994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0.4578</w:t>
            </w:r>
          </w:p>
        </w:tc>
        <w:tc>
          <w:tcPr/>
          <w:p>
            <w:pPr>
              <w:pStyle w:val="Compact"/>
            </w:pPr>
            <w:r>
              <w:t xml:space="preserve">0.2920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2.5493</w:t>
            </w:r>
          </w:p>
        </w:tc>
        <w:tc>
          <w:tcPr/>
          <w:p>
            <w:pPr>
              <w:pStyle w:val="Compact"/>
            </w:pPr>
            <w:r>
              <w:t xml:space="preserve">5.0491</w:t>
            </w:r>
          </w:p>
        </w:tc>
        <w:tc>
          <w:tcPr/>
          <w:p>
            <w:pPr>
              <w:pStyle w:val="Compact"/>
            </w:pPr>
            <w:r>
              <w:t xml:space="preserve">2.9946</w:t>
            </w:r>
          </w:p>
        </w:tc>
        <w:tc>
          <w:tcPr/>
          <w:p>
            <w:pPr>
              <w:pStyle w:val="Compact"/>
            </w:pPr>
            <w:r>
              <w:t xml:space="preserve">0.5514</w:t>
            </w:r>
          </w:p>
        </w:tc>
        <w:tc>
          <w:tcPr/>
          <w:p>
            <w:pPr>
              <w:pStyle w:val="Compact"/>
            </w:pPr>
            <w:r>
              <w:t xml:space="preserve">0.1933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3.4064</w:t>
            </w:r>
          </w:p>
        </w:tc>
        <w:tc>
          <w:tcPr/>
          <w:p>
            <w:pPr>
              <w:pStyle w:val="Compact"/>
            </w:pPr>
            <w:r>
              <w:t xml:space="preserve">5.8364</w:t>
            </w:r>
          </w:p>
        </w:tc>
        <w:tc>
          <w:tcPr/>
          <w:p>
            <w:pPr>
              <w:pStyle w:val="Compact"/>
            </w:pPr>
            <w:r>
              <w:t xml:space="preserve">3.8094</w:t>
            </w:r>
          </w:p>
        </w:tc>
        <w:tc>
          <w:tcPr/>
          <w:p>
            <w:pPr>
              <w:pStyle w:val="Compact"/>
            </w:pPr>
            <w:r>
              <w:t xml:space="preserve">0.7409</w:t>
            </w:r>
          </w:p>
        </w:tc>
        <w:tc>
          <w:tcPr/>
          <w:p>
            <w:pPr>
              <w:pStyle w:val="Compact"/>
            </w:pPr>
            <w:r>
              <w:t xml:space="preserve">-0.0779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2.5450</w:t>
            </w:r>
          </w:p>
        </w:tc>
        <w:tc>
          <w:tcPr/>
          <w:p>
            <w:pPr>
              <w:pStyle w:val="Compact"/>
            </w:pPr>
            <w:r>
              <w:t xml:space="preserve">5.0448</w:t>
            </w:r>
          </w:p>
        </w:tc>
        <w:tc>
          <w:tcPr/>
          <w:p>
            <w:pPr>
              <w:pStyle w:val="Compact"/>
            </w:pPr>
            <w:r>
              <w:t xml:space="preserve">2.9235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0.5458</w:t>
            </w:r>
          </w:p>
        </w:tc>
        <w:tc>
          <w:tcPr/>
          <w:p>
            <w:pPr>
              <w:pStyle w:val="Compact"/>
            </w:pPr>
            <w:r>
              <w:t xml:space="preserve">0.1947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tickers; test n = 35,506 at h1, 35,468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2.5131</w:t>
            </w:r>
          </w:p>
        </w:tc>
        <w:tc>
          <w:tcPr/>
          <w:p>
            <w:pPr>
              <w:pStyle w:val="Compact"/>
            </w:pPr>
            <w:r>
              <w:t xml:space="preserve">5.0131</w:t>
            </w:r>
          </w:p>
        </w:tc>
        <w:tc>
          <w:tcPr/>
          <w:p>
            <w:pPr>
              <w:pStyle w:val="Compact"/>
            </w:pPr>
            <w:r>
              <w:t xml:space="preserve">3.0412</w:t>
            </w:r>
          </w:p>
        </w:tc>
        <w:tc>
          <w:tcPr/>
          <w:p>
            <w:pPr>
              <w:pStyle w:val="Compact"/>
            </w:pPr>
            <w:r>
              <w:t xml:space="preserve">0.4798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3.9308</w:t>
            </w:r>
          </w:p>
        </w:tc>
        <w:tc>
          <w:tcPr/>
          <w:p>
            <w:pPr>
              <w:pStyle w:val="Compact"/>
            </w:pPr>
            <w:r>
              <w:t xml:space="preserve">6.2696</w:t>
            </w:r>
          </w:p>
        </w:tc>
        <w:tc>
          <w:tcPr/>
          <w:p>
            <w:pPr>
              <w:pStyle w:val="Compact"/>
            </w:pPr>
            <w:r>
              <w:t xml:space="preserve">4.4409</w:t>
            </w:r>
          </w:p>
        </w:tc>
        <w:tc>
          <w:tcPr/>
          <w:p>
            <w:pPr>
              <w:pStyle w:val="Compact"/>
            </w:pPr>
            <w:r>
              <w:t xml:space="preserve">0.7031</w:t>
            </w:r>
          </w:p>
        </w:tc>
        <w:tc>
          <w:tcPr/>
          <w:p>
            <w:pPr>
              <w:pStyle w:val="Compact"/>
            </w:pPr>
            <w:r>
              <w:t xml:space="preserve">-0.2072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2.5138</w:t>
            </w:r>
          </w:p>
        </w:tc>
        <w:tc>
          <w:tcPr/>
          <w:p>
            <w:pPr>
              <w:pStyle w:val="Compact"/>
            </w:pPr>
            <w:r>
              <w:t xml:space="preserve">5.0137</w:t>
            </w:r>
          </w:p>
        </w:tc>
        <w:tc>
          <w:tcPr/>
          <w:p>
            <w:pPr>
              <w:pStyle w:val="Compact"/>
            </w:pPr>
            <w:r>
              <w:t xml:space="preserve">2.9909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0.4735</w:t>
            </w:r>
          </w:p>
        </w:tc>
        <w:tc>
          <w:tcPr/>
          <w:p>
            <w:pPr>
              <w:pStyle w:val="Compact"/>
            </w:pPr>
            <w:r>
              <w:t xml:space="preserve">0.2280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2.7815</w:t>
            </w:r>
          </w:p>
        </w:tc>
        <w:tc>
          <w:tcPr/>
          <w:p>
            <w:pPr>
              <w:pStyle w:val="Compact"/>
            </w:pPr>
            <w:r>
              <w:t xml:space="preserve">5.2740</w:t>
            </w:r>
          </w:p>
        </w:tc>
        <w:tc>
          <w:tcPr/>
          <w:p>
            <w:pPr>
              <w:pStyle w:val="Compact"/>
            </w:pPr>
            <w:r>
              <w:t xml:space="preserve">3.2941</w:t>
            </w:r>
          </w:p>
        </w:tc>
        <w:tc>
          <w:tcPr/>
          <w:p>
            <w:pPr>
              <w:pStyle w:val="Compact"/>
            </w:pPr>
            <w:r>
              <w:t xml:space="preserve">0.5441</w:t>
            </w:r>
          </w:p>
        </w:tc>
        <w:tc>
          <w:tcPr/>
          <w:p>
            <w:pPr>
              <w:pStyle w:val="Compact"/>
            </w:pPr>
            <w:r>
              <w:t xml:space="preserve">0.1462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3.8892</w:t>
            </w:r>
          </w:p>
        </w:tc>
        <w:tc>
          <w:tcPr/>
          <w:p>
            <w:pPr>
              <w:pStyle w:val="Compact"/>
            </w:pPr>
            <w:r>
              <w:t xml:space="preserve">6.2364</w:t>
            </w:r>
          </w:p>
        </w:tc>
        <w:tc>
          <w:tcPr/>
          <w:p>
            <w:pPr>
              <w:pStyle w:val="Compact"/>
            </w:pPr>
            <w:r>
              <w:t xml:space="preserve">4.4164</w:t>
            </w:r>
          </w:p>
        </w:tc>
        <w:tc>
          <w:tcPr/>
          <w:p>
            <w:pPr>
              <w:pStyle w:val="Compact"/>
            </w:pPr>
            <w:r>
              <w:t xml:space="preserve">0.6993</w:t>
            </w:r>
          </w:p>
        </w:tc>
        <w:tc>
          <w:tcPr/>
          <w:p>
            <w:pPr>
              <w:pStyle w:val="Compact"/>
            </w:pPr>
            <w:r>
              <w:t xml:space="preserve">-0.1939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2.7739</w:t>
            </w:r>
          </w:p>
        </w:tc>
        <w:tc>
          <w:tcPr/>
          <w:p>
            <w:pPr>
              <w:pStyle w:val="Compact"/>
            </w:pPr>
            <w:r>
              <w:t xml:space="preserve">5.2667</w:t>
            </w:r>
          </w:p>
        </w:tc>
        <w:tc>
          <w:tcPr/>
          <w:p>
            <w:pPr>
              <w:pStyle w:val="Compact"/>
            </w:pPr>
            <w:r>
              <w:t xml:space="preserve">3.2367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0.5372</w:t>
            </w:r>
          </w:p>
        </w:tc>
        <w:tc>
          <w:tcPr/>
          <w:p>
            <w:pPr>
              <w:pStyle w:val="Compact"/>
            </w:pPr>
            <w:r>
              <w:t xml:space="preserve">0.1485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(~500 tickers; test n = 436,569 at h1, 436,421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2.9797</w:t>
            </w:r>
          </w:p>
        </w:tc>
        <w:tc>
          <w:tcPr/>
          <w:p>
            <w:pPr>
              <w:pStyle w:val="Compact"/>
            </w:pPr>
            <w:r>
              <w:t xml:space="preserve">5.4587</w:t>
            </w:r>
          </w:p>
        </w:tc>
        <w:tc>
          <w:tcPr/>
          <w:p>
            <w:pPr>
              <w:pStyle w:val="Compact"/>
            </w:pPr>
            <w:r>
              <w:t xml:space="preserve">1.9909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0.3616</w:t>
            </w:r>
          </w:p>
        </w:tc>
        <w:tc>
          <w:tcPr/>
          <w:p>
            <w:pPr>
              <w:pStyle w:val="Compact"/>
            </w:pPr>
            <w:r>
              <w:t xml:space="preserve">0.1970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12.5558</w:t>
            </w:r>
          </w:p>
        </w:tc>
        <w:tc>
          <w:tcPr/>
          <w:p>
            <w:pPr>
              <w:pStyle w:val="Compact"/>
            </w:pPr>
            <w:r>
              <w:t xml:space="preserve">11.2053</w:t>
            </w:r>
          </w:p>
        </w:tc>
        <w:tc>
          <w:tcPr/>
          <w:p>
            <w:pPr>
              <w:pStyle w:val="Compact"/>
            </w:pPr>
            <w:r>
              <w:t xml:space="preserve">5.1235</w:t>
            </w:r>
          </w:p>
        </w:tc>
        <w:tc>
          <w:tcPr/>
          <w:p>
            <w:pPr>
              <w:pStyle w:val="Compact"/>
            </w:pPr>
            <w:r>
              <w:t xml:space="preserve">0.7286</w:t>
            </w:r>
          </w:p>
        </w:tc>
        <w:tc>
          <w:tcPr/>
          <w:p>
            <w:pPr>
              <w:pStyle w:val="Compact"/>
            </w:pPr>
            <w:r>
              <w:t xml:space="preserve">-2.3838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2.9408</w:t>
            </w:r>
          </w:p>
        </w:tc>
        <w:tc>
          <w:tcPr/>
          <w:p>
            <w:pPr>
              <w:pStyle w:val="Compact"/>
            </w:pPr>
            <w:r>
              <w:t xml:space="preserve">5.4229</w:t>
            </w:r>
          </w:p>
        </w:tc>
        <w:tc>
          <w:tcPr/>
          <w:p>
            <w:pPr>
              <w:pStyle w:val="Compact"/>
            </w:pPr>
            <w:r>
              <w:t xml:space="preserve">2.0586</w:t>
            </w:r>
          </w:p>
        </w:tc>
        <w:tc>
          <w:tcPr/>
          <w:p>
            <w:pPr>
              <w:pStyle w:val="Compact"/>
            </w:pPr>
            <w:r>
              <w:t xml:space="preserve">0.3654</w:t>
            </w:r>
          </w:p>
        </w:tc>
        <w:tc>
          <w:tcPr/>
          <w:p>
            <w:pPr>
              <w:pStyle w:val="Compact"/>
            </w:pPr>
            <w:r>
              <w:t xml:space="preserve">0.2074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3.3453</w:t>
            </w:r>
          </w:p>
        </w:tc>
        <w:tc>
          <w:tcPr/>
          <w:p>
            <w:pPr>
              <w:pStyle w:val="Compact"/>
            </w:pPr>
            <w:r>
              <w:t xml:space="preserve">5.7838</w:t>
            </w:r>
          </w:p>
        </w:tc>
        <w:tc>
          <w:tcPr/>
          <w:p>
            <w:pPr>
              <w:pStyle w:val="Compact"/>
            </w:pPr>
            <w:r>
              <w:t xml:space="preserve">2.1779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0.4226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12.5241</w:t>
            </w:r>
          </w:p>
        </w:tc>
        <w:tc>
          <w:tcPr/>
          <w:p>
            <w:pPr>
              <w:pStyle w:val="Compact"/>
            </w:pPr>
            <w:r>
              <w:t xml:space="preserve">11.1911</w:t>
            </w:r>
          </w:p>
        </w:tc>
        <w:tc>
          <w:tcPr/>
          <w:p>
            <w:pPr>
              <w:pStyle w:val="Compact"/>
            </w:pPr>
            <w:r>
              <w:t xml:space="preserve">5.0885</w:t>
            </w:r>
          </w:p>
        </w:tc>
        <w:tc>
          <w:tcPr/>
          <w:p>
            <w:pPr>
              <w:pStyle w:val="Compact"/>
            </w:pPr>
            <w:r>
              <w:t xml:space="preserve">0.7287</w:t>
            </w:r>
          </w:p>
        </w:tc>
        <w:tc>
          <w:tcPr/>
          <w:p>
            <w:pPr>
              <w:pStyle w:val="Compact"/>
            </w:pPr>
            <w:r>
              <w:t xml:space="preserve">-2.3763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3.3001</w:t>
            </w:r>
          </w:p>
        </w:tc>
        <w:tc>
          <w:tcPr/>
          <w:p>
            <w:pPr>
              <w:pStyle w:val="Compact"/>
            </w:pPr>
            <w:r>
              <w:t xml:space="preserve">5.7446</w:t>
            </w:r>
          </w:p>
        </w:tc>
        <w:tc>
          <w:tcPr/>
          <w:p>
            <w:pPr>
              <w:pStyle w:val="Compact"/>
            </w:pPr>
            <w:r>
              <w:t xml:space="preserve">2.2118</w:t>
            </w:r>
          </w:p>
        </w:tc>
        <w:tc>
          <w:tcPr/>
          <w:p>
            <w:pPr>
              <w:pStyle w:val="Compact"/>
            </w:pPr>
            <w:r>
              <w:t xml:space="preserve">0.4232</w:t>
            </w:r>
          </w:p>
        </w:tc>
        <w:tc>
          <w:tcPr/>
          <w:p>
            <w:pPr>
              <w:pStyle w:val="Compact"/>
            </w:pPr>
            <w:r>
              <w:t xml:space="preserve">0.1103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Diebold–Mariano, main study — per-observation (naive) test, shown for the design comparison only</w:t>
      </w:r>
      <w:r>
        <w:t xml:space="preserve"> </w:t>
      </w:r>
      <w:r>
        <w:t xml:space="preserve">(negative statistic favors LSTM;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denotes p &lt; 0.05 on the per-observation test, which overstates</w:t>
      </w:r>
      <w:r>
        <w:t xml:space="preserve"> </w:t>
      </w:r>
      <w:r>
        <w:t xml:space="preserve">significance on this cross-sectionally dependent panel — see the methodological note in Section 6.6; the</w:t>
      </w:r>
      <w:r>
        <w:t xml:space="preserve"> </w:t>
      </w:r>
      <w:r>
        <w:t xml:space="preserve">panel-correct beat-HAR verdicts are in Section 6.6):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LSTM vs HAR (MSE)</w:t>
            </w:r>
          </w:p>
        </w:tc>
        <w:tc>
          <w:tcPr/>
          <w:p>
            <w:pPr>
              <w:pStyle w:val="Compact"/>
            </w:pPr>
            <w:r>
              <w:t xml:space="preserve">LSTM vs GARCH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−3.60 (p&lt;0.001)* LSTM</w:t>
            </w:r>
          </w:p>
        </w:tc>
        <w:tc>
          <w:tcPr/>
          <w:p>
            <w:pPr>
              <w:pStyle w:val="Compact"/>
            </w:pPr>
            <w:r>
              <w:t xml:space="preserve">−0.69 (p=0.49) tie</w:t>
            </w:r>
          </w:p>
        </w:tc>
        <w:tc>
          <w:tcPr/>
          <w:p>
            <w:pPr>
              <w:pStyle w:val="Compact"/>
            </w:pPr>
            <w:r>
              <w:t xml:space="preserve">−31.56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−0.98 (p=0.33) tie</w:t>
            </w:r>
          </w:p>
        </w:tc>
        <w:tc>
          <w:tcPr/>
          <w:p>
            <w:pPr>
              <w:pStyle w:val="Compact"/>
            </w:pPr>
            <w:r>
              <w:t xml:space="preserve">−0.30 (p=0.76) tie</w:t>
            </w:r>
          </w:p>
        </w:tc>
        <w:tc>
          <w:tcPr/>
          <w:p>
            <w:pPr>
              <w:pStyle w:val="Compact"/>
            </w:pPr>
            <w:r>
              <w:t xml:space="preserve">−14.73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−6.23 (p&lt;0.001)* LSTM</w:t>
            </w:r>
          </w:p>
        </w:tc>
        <w:tc>
          <w:tcPr/>
          <w:p>
            <w:pPr>
              <w:pStyle w:val="Compact"/>
            </w:pPr>
            <w:r>
              <w:t xml:space="preserve">+0.11 (p=0.91) tie</w:t>
            </w:r>
          </w:p>
        </w:tc>
        <w:tc>
          <w:tcPr/>
          <w:p>
            <w:pPr>
              <w:pStyle w:val="Compact"/>
            </w:pPr>
            <w:r>
              <w:t xml:space="preserve">−58.73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−3.34 (p&lt;0.001)* LSTM</w:t>
            </w:r>
          </w:p>
        </w:tc>
        <w:tc>
          <w:tcPr/>
          <w:p>
            <w:pPr>
              <w:pStyle w:val="Compact"/>
            </w:pPr>
            <w:r>
              <w:t xml:space="preserve">−1.00 (p=0.32) tie</w:t>
            </w:r>
          </w:p>
        </w:tc>
        <w:tc>
          <w:tcPr/>
          <w:p>
            <w:pPr>
              <w:pStyle w:val="Compact"/>
            </w:pPr>
            <w:r>
              <w:t xml:space="preserve">−29.85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+10.39 (p&lt;0.001)* HAR</w:t>
            </w:r>
          </w:p>
        </w:tc>
        <w:tc>
          <w:tcPr/>
          <w:p>
            <w:pPr>
              <w:pStyle w:val="Compact"/>
            </w:pPr>
            <w:r>
              <w:t xml:space="preserve">−2.98 (p=0.003)* LSTM</w:t>
            </w:r>
          </w:p>
        </w:tc>
        <w:tc>
          <w:tcPr/>
          <w:p>
            <w:pPr>
              <w:pStyle w:val="Compact"/>
            </w:pPr>
            <w:r>
              <w:t xml:space="preserve">−152.75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+1.01 (p=0.31) tie</w:t>
            </w:r>
          </w:p>
        </w:tc>
        <w:tc>
          <w:tcPr/>
          <w:p>
            <w:pPr>
              <w:pStyle w:val="Compact"/>
            </w:pPr>
            <w:r>
              <w:t xml:space="preserve">−3.98 (p&lt;0.001)* LSTM</w:t>
            </w:r>
          </w:p>
        </w:tc>
        <w:tc>
          <w:tcPr/>
          <w:p>
            <w:pPr>
              <w:pStyle w:val="Compact"/>
            </w:pPr>
            <w:r>
              <w:t xml:space="preserve">−83.14 (p&lt;0.001)* LSTM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On the Vietnamese panels the LSTM’s QLIKE point estimates edge below HAR at the short horizons</w:t>
      </w:r>
      <w:r>
        <w:t xml:space="preserve"> </w:t>
      </w:r>
      <w:r>
        <w:t xml:space="preserve">(for example VN30-h1 0.4578 versus 0.4675, VN100-h1 0.4735 versus 0.4798). The per-observation Diebold–</w:t>
      </w:r>
      <w:r>
        <w:t xml:space="preserve"> </w:t>
      </w:r>
      <w:r>
        <w:t xml:space="preserve">Mariano statistics above flag several of these as significant, but that test overstates significance on a</w:t>
      </w:r>
      <w:r>
        <w:t xml:space="preserve"> </w:t>
      </w:r>
      <w:r>
        <w:t xml:space="preserve">cross-sectionally dependent panel; under the panel-correct date-clustered test of Section 6.6 none of these</w:t>
      </w:r>
      <w:r>
        <w:t xml:space="preserve"> </w:t>
      </w:r>
      <w:r>
        <w:t xml:space="preserve">Vietnamese gaps is statistically significant. Every learned model beats GARCH at every horizon by very large</w:t>
      </w:r>
      <w:r>
        <w:t xml:space="preserve"> </w:t>
      </w:r>
      <w:r>
        <w:t xml:space="preserve">margins. On the S&amp;P 500 the LSTM attains both the lower QLIKE and the lower MSE at both horizons in this</w:t>
      </w:r>
      <w:r>
        <w:t xml:space="preserve"> </w:t>
      </w:r>
      <w:r>
        <w:t xml:space="preserve">per-observation design, and the date-clustered study of Section 6.6 confirms the S&amp;P 500 beat-HAR result is</w:t>
      </w:r>
      <w:r>
        <w:t xml:space="preserve"> </w:t>
      </w:r>
      <w:r>
        <w:t xml:space="preserve">statistically significant there. The takeaway of this section is descriptive: the LSTM’s point estimates</w:t>
      </w:r>
      <w:r>
        <w:t xml:space="preserve"> </w:t>
      </w:r>
      <w:r>
        <w:t xml:space="preserve">favor it on the richer per-observation design, but the panel-correct significance verdict belongs to</w:t>
      </w:r>
      <w:r>
        <w:t xml:space="preserve"> </w:t>
      </w:r>
      <w:r>
        <w:t xml:space="preserve">Section 6.6, where the beat-HAR result survives only on the large S&amp;P 500 panel.</w:t>
      </w:r>
    </w:p>
    <w:bookmarkEnd w:id="23"/>
    <w:bookmarkStart w:id="24" w:name="X36a189d55e9347a7725678edb1afb414a534608"/>
    <w:p>
      <w:pPr>
        <w:pStyle w:val="Heading3"/>
      </w:pPr>
      <w:r>
        <w:t xml:space="preserve">6.2 Graph-check ablation — LSTM+GAT versus LSTM (w/o GAT) (design: common-date snapshot, global split)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results/soict/{panel}_lb10_h{1,5}/result.json</w:t>
      </w:r>
      <w:r>
        <w:rPr>
          <w:i/>
          <w:iCs/>
        </w:rPr>
        <w:t xml:space="preserve">. Snapshot test n: VN30 4,356/4,323; VN100</w:t>
      </w:r>
      <w:r>
        <w:rPr>
          <w:i/>
          <w:iCs/>
        </w:rPr>
        <w:t xml:space="preserve"> </w:t>
      </w:r>
      <w:r>
        <w:rPr>
          <w:i/>
          <w:iCs/>
        </w:rPr>
        <w:t xml:space="preserve">5,096/4,992; S&amp;P 500 17,500/17,500.</w:t>
      </w:r>
    </w:p>
    <w:p>
      <w:pPr>
        <w:pStyle w:val="BodyText"/>
      </w:pPr>
      <w:r>
        <w:rPr>
          <w:b/>
          <w:bCs/>
        </w:rPr>
        <w:t xml:space="preserve">VN30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2.1527</w:t>
            </w:r>
          </w:p>
        </w:tc>
        <w:tc>
          <w:tcPr/>
          <w:p>
            <w:pPr>
              <w:pStyle w:val="Compact"/>
            </w:pPr>
            <w:r>
              <w:t xml:space="preserve">4.6398</w:t>
            </w:r>
          </w:p>
        </w:tc>
        <w:tc>
          <w:tcPr/>
          <w:p>
            <w:pPr>
              <w:pStyle w:val="Compact"/>
            </w:pPr>
            <w:r>
              <w:t xml:space="preserve">2.7735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0.3946</w:t>
            </w:r>
          </w:p>
        </w:tc>
        <w:tc>
          <w:tcPr/>
          <w:p>
            <w:pPr>
              <w:pStyle w:val="Compact"/>
            </w:pPr>
            <w:r>
              <w:t xml:space="preserve">0.3114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3.0380</w:t>
            </w:r>
          </w:p>
        </w:tc>
        <w:tc>
          <w:tcPr/>
          <w:p>
            <w:pPr>
              <w:pStyle w:val="Compact"/>
            </w:pPr>
            <w:r>
              <w:t xml:space="preserve">5.5118</w:t>
            </w:r>
          </w:p>
        </w:tc>
        <w:tc>
          <w:tcPr/>
          <w:p>
            <w:pPr>
              <w:pStyle w:val="Compact"/>
            </w:pPr>
            <w:r>
              <w:t xml:space="preserve">3.3035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0.0283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t xml:space="preserve">4.7933</w:t>
            </w:r>
          </w:p>
        </w:tc>
        <w:tc>
          <w:tcPr/>
          <w:p>
            <w:pPr>
              <w:pStyle w:val="Compact"/>
            </w:pPr>
            <w:r>
              <w:t xml:space="preserve">2.8707</w:t>
            </w:r>
          </w:p>
        </w:tc>
        <w:tc>
          <w:tcPr/>
          <w:p>
            <w:pPr>
              <w:pStyle w:val="Compact"/>
            </w:pPr>
            <w:r>
              <w:t xml:space="preserve">0.4120</w:t>
            </w:r>
          </w:p>
        </w:tc>
        <w:tc>
          <w:tcPr/>
          <w:p>
            <w:pPr>
              <w:pStyle w:val="Compact"/>
            </w:pPr>
            <w:r>
              <w:t xml:space="preserve">0.2651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2.4862</w:t>
            </w:r>
          </w:p>
        </w:tc>
        <w:tc>
          <w:tcPr/>
          <w:p>
            <w:pPr>
              <w:pStyle w:val="Compact"/>
            </w:pPr>
            <w:r>
              <w:t xml:space="preserve">4.9862</w:t>
            </w:r>
          </w:p>
        </w:tc>
        <w:tc>
          <w:tcPr/>
          <w:p>
            <w:pPr>
              <w:pStyle w:val="Compact"/>
            </w:pPr>
            <w:r>
              <w:t xml:space="preserve">3.0564</w:t>
            </w:r>
          </w:p>
        </w:tc>
        <w:tc>
          <w:tcPr/>
          <w:p>
            <w:pPr>
              <w:pStyle w:val="Compact"/>
            </w:pPr>
            <w:r>
              <w:t xml:space="preserve">0.4528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2.4342</w:t>
            </w:r>
          </w:p>
        </w:tc>
        <w:tc>
          <w:tcPr/>
          <w:p>
            <w:pPr>
              <w:pStyle w:val="Compact"/>
            </w:pPr>
            <w:r>
              <w:t xml:space="preserve">4.9338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0.4531</w:t>
            </w:r>
          </w:p>
        </w:tc>
        <w:tc>
          <w:tcPr/>
          <w:p>
            <w:pPr>
              <w:pStyle w:val="Compact"/>
            </w:pPr>
            <w:r>
              <w:t xml:space="preserve">0.2182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3.0306</w:t>
            </w:r>
          </w:p>
        </w:tc>
        <w:tc>
          <w:tcPr/>
          <w:p>
            <w:pPr>
              <w:pStyle w:val="Compact"/>
            </w:pPr>
            <w:r>
              <w:t xml:space="preserve">5.5051</w:t>
            </w:r>
          </w:p>
        </w:tc>
        <w:tc>
          <w:tcPr/>
          <w:p>
            <w:pPr>
              <w:pStyle w:val="Compact"/>
            </w:pPr>
            <w:r>
              <w:t xml:space="preserve">3.2993</w:t>
            </w:r>
          </w:p>
        </w:tc>
        <w:tc>
          <w:tcPr/>
          <w:p>
            <w:pPr>
              <w:pStyle w:val="Compact"/>
            </w:pPr>
            <w:r>
              <w:t xml:space="preserve">0.6420</w:t>
            </w:r>
          </w:p>
        </w:tc>
        <w:tc>
          <w:tcPr/>
          <w:p>
            <w:pPr>
              <w:pStyle w:val="Compact"/>
            </w:pPr>
            <w:r>
              <w:t xml:space="preserve">0.0267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2.5270</w:t>
            </w:r>
          </w:p>
        </w:tc>
        <w:tc>
          <w:tcPr/>
          <w:p>
            <w:pPr>
              <w:pStyle w:val="Compact"/>
            </w:pPr>
            <w:r>
              <w:t xml:space="preserve">5.0269</w:t>
            </w:r>
          </w:p>
        </w:tc>
        <w:tc>
          <w:tcPr/>
          <w:p>
            <w:pPr>
              <w:pStyle w:val="Compact"/>
            </w:pPr>
            <w:r>
              <w:t xml:space="preserve">3.1070</w:t>
            </w:r>
          </w:p>
        </w:tc>
        <w:tc>
          <w:tcPr/>
          <w:p>
            <w:pPr>
              <w:pStyle w:val="Compact"/>
            </w:pPr>
            <w:r>
              <w:t xml:space="preserve">0.4663</w:t>
            </w:r>
          </w:p>
        </w:tc>
        <w:tc>
          <w:tcPr/>
          <w:p>
            <w:pPr>
              <w:pStyle w:val="Compact"/>
            </w:pPr>
            <w:r>
              <w:t xml:space="preserve">0.1884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2.7081</w:t>
            </w:r>
          </w:p>
        </w:tc>
        <w:tc>
          <w:tcPr/>
          <w:p>
            <w:pPr>
              <w:pStyle w:val="Compact"/>
            </w:pPr>
            <w:r>
              <w:t xml:space="preserve">5.2039</w:t>
            </w:r>
          </w:p>
        </w:tc>
        <w:tc>
          <w:tcPr/>
          <w:p>
            <w:pPr>
              <w:pStyle w:val="Compact"/>
            </w:pPr>
            <w:r>
              <w:t xml:space="preserve">3.3082</w:t>
            </w:r>
          </w:p>
        </w:tc>
        <w:tc>
          <w:tcPr/>
          <w:p>
            <w:pPr>
              <w:pStyle w:val="Compact"/>
            </w:pPr>
            <w:r>
              <w:t xml:space="preserve">0.4991</w:t>
            </w:r>
          </w:p>
        </w:tc>
        <w:tc>
          <w:tcPr/>
          <w:p>
            <w:pPr>
              <w:pStyle w:val="Compact"/>
            </w:pPr>
            <w:r>
              <w:t xml:space="preserve">0.1303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1.9936</w:t>
            </w:r>
          </w:p>
        </w:tc>
        <w:tc>
          <w:tcPr/>
          <w:p>
            <w:pPr>
              <w:pStyle w:val="Compact"/>
            </w:pPr>
            <w:r>
              <w:t xml:space="preserve">4.4650</w:t>
            </w:r>
          </w:p>
        </w:tc>
        <w:tc>
          <w:tcPr/>
          <w:p>
            <w:pPr>
              <w:pStyle w:val="Compact"/>
            </w:pPr>
            <w:r>
              <w:t xml:space="preserve">2.7856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0.4843</w:t>
            </w:r>
          </w:p>
        </w:tc>
        <w:tc>
          <w:tcPr/>
          <w:p>
            <w:pPr>
              <w:pStyle w:val="Compact"/>
            </w:pPr>
            <w:r>
              <w:t xml:space="preserve">0.2093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2.9017</w:t>
            </w:r>
          </w:p>
        </w:tc>
        <w:tc>
          <w:tcPr/>
          <w:p>
            <w:pPr>
              <w:pStyle w:val="Compact"/>
            </w:pPr>
            <w:r>
              <w:t xml:space="preserve">5.3868</w:t>
            </w:r>
          </w:p>
        </w:tc>
        <w:tc>
          <w:tcPr/>
          <w:p>
            <w:pPr>
              <w:pStyle w:val="Compact"/>
            </w:pPr>
            <w:r>
              <w:t xml:space="preserve">3.9215</w:t>
            </w:r>
          </w:p>
        </w:tc>
        <w:tc>
          <w:tcPr/>
          <w:p>
            <w:pPr>
              <w:pStyle w:val="Compact"/>
            </w:pPr>
            <w:r>
              <w:t xml:space="preserve">0.6210</w:t>
            </w:r>
          </w:p>
        </w:tc>
        <w:tc>
          <w:tcPr/>
          <w:p>
            <w:pPr>
              <w:pStyle w:val="Compact"/>
            </w:pPr>
            <w:r>
              <w:t xml:space="preserve">-0.1508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2.1568</w:t>
            </w:r>
          </w:p>
        </w:tc>
        <w:tc>
          <w:tcPr/>
          <w:p>
            <w:pPr>
              <w:pStyle w:val="Compact"/>
            </w:pPr>
            <w:r>
              <w:t xml:space="preserve">4.6441</w:t>
            </w:r>
          </w:p>
        </w:tc>
        <w:tc>
          <w:tcPr/>
          <w:p>
            <w:pPr>
              <w:pStyle w:val="Compact"/>
            </w:pPr>
            <w:r>
              <w:t xml:space="preserve">2.9884</w:t>
            </w:r>
          </w:p>
        </w:tc>
        <w:tc>
          <w:tcPr/>
          <w:p>
            <w:pPr>
              <w:pStyle w:val="Compact"/>
            </w:pPr>
            <w:r>
              <w:t xml:space="preserve">0.5204</w:t>
            </w:r>
          </w:p>
        </w:tc>
        <w:tc>
          <w:tcPr/>
          <w:p>
            <w:pPr>
              <w:pStyle w:val="Compact"/>
            </w:pPr>
            <w:r>
              <w:t xml:space="preserve">0.1446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2.0810</w:t>
            </w:r>
          </w:p>
        </w:tc>
        <w:tc>
          <w:tcPr/>
          <w:p>
            <w:pPr>
              <w:pStyle w:val="Compact"/>
            </w:pPr>
            <w:r>
              <w:t xml:space="preserve">4.5618</w:t>
            </w:r>
          </w:p>
        </w:tc>
        <w:tc>
          <w:tcPr/>
          <w:p>
            <w:pPr>
              <w:pStyle w:val="Compact"/>
            </w:pPr>
            <w:r>
              <w:t xml:space="preserve">2.8335</w:t>
            </w:r>
          </w:p>
        </w:tc>
        <w:tc>
          <w:tcPr/>
          <w:p>
            <w:pPr>
              <w:pStyle w:val="Compact"/>
            </w:pPr>
            <w:r>
              <w:t xml:space="preserve">0.5296</w:t>
            </w:r>
          </w:p>
        </w:tc>
        <w:tc>
          <w:tcPr/>
          <w:p>
            <w:pPr>
              <w:pStyle w:val="Compact"/>
            </w:pPr>
            <w:r>
              <w:t xml:space="preserve">0.1747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2.2817</w:t>
            </w:r>
          </w:p>
        </w:tc>
        <w:tc>
          <w:tcPr/>
          <w:p>
            <w:pPr>
              <w:pStyle w:val="Compact"/>
            </w:pPr>
            <w:r>
              <w:t xml:space="preserve">4.7767</w:t>
            </w:r>
          </w:p>
        </w:tc>
        <w:tc>
          <w:tcPr/>
          <w:p>
            <w:pPr>
              <w:pStyle w:val="Compact"/>
            </w:pPr>
            <w:r>
              <w:t xml:space="preserve">3.0164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0.5442</w:t>
            </w:r>
          </w:p>
        </w:tc>
        <w:tc>
          <w:tcPr/>
          <w:p>
            <w:pPr>
              <w:pStyle w:val="Compact"/>
            </w:pPr>
            <w:r>
              <w:t xml:space="preserve">0.1067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2.7781</w:t>
            </w:r>
          </w:p>
        </w:tc>
        <w:tc>
          <w:tcPr/>
          <w:p>
            <w:pPr>
              <w:pStyle w:val="Compact"/>
            </w:pPr>
            <w:r>
              <w:t xml:space="preserve">5.2708</w:t>
            </w:r>
          </w:p>
        </w:tc>
        <w:tc>
          <w:tcPr/>
          <w:p>
            <w:pPr>
              <w:pStyle w:val="Compact"/>
            </w:pPr>
            <w:r>
              <w:t xml:space="preserve">3.8665</w:t>
            </w:r>
          </w:p>
        </w:tc>
        <w:tc>
          <w:tcPr/>
          <w:p>
            <w:pPr>
              <w:pStyle w:val="Compact"/>
            </w:pPr>
            <w:r>
              <w:t xml:space="preserve">0.6157</w:t>
            </w:r>
          </w:p>
        </w:tc>
        <w:tc>
          <w:tcPr/>
          <w:p>
            <w:pPr>
              <w:pStyle w:val="Compact"/>
            </w:pPr>
            <w:r>
              <w:t xml:space="preserve">-0.0876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2.3035</w:t>
            </w:r>
          </w:p>
        </w:tc>
        <w:tc>
          <w:tcPr/>
          <w:p>
            <w:pPr>
              <w:pStyle w:val="Compact"/>
            </w:pPr>
            <w:r>
              <w:t xml:space="preserve">4.7995</w:t>
            </w:r>
          </w:p>
        </w:tc>
        <w:tc>
          <w:tcPr/>
          <w:p>
            <w:pPr>
              <w:pStyle w:val="Compact"/>
            </w:pPr>
            <w:r>
              <w:t xml:space="preserve">3.0960</w:t>
            </w:r>
          </w:p>
        </w:tc>
        <w:tc>
          <w:tcPr/>
          <w:p>
            <w:pPr>
              <w:pStyle w:val="Compact"/>
            </w:pPr>
            <w:r>
              <w:t xml:space="preserve">0.5552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2.2559</w:t>
            </w:r>
          </w:p>
        </w:tc>
        <w:tc>
          <w:tcPr/>
          <w:p>
            <w:pPr>
              <w:pStyle w:val="Compact"/>
            </w:pPr>
            <w:r>
              <w:t xml:space="preserve">4.7496</w:t>
            </w:r>
          </w:p>
        </w:tc>
        <w:tc>
          <w:tcPr/>
          <w:p>
            <w:pPr>
              <w:pStyle w:val="Compact"/>
            </w:pPr>
            <w:r>
              <w:t xml:space="preserve">2.9780</w:t>
            </w:r>
          </w:p>
        </w:tc>
        <w:tc>
          <w:tcPr/>
          <w:p>
            <w:pPr>
              <w:pStyle w:val="Compact"/>
            </w:pPr>
            <w:r>
              <w:t xml:space="preserve">0.5588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6.9544</w:t>
            </w:r>
          </w:p>
        </w:tc>
        <w:tc>
          <w:tcPr/>
          <w:p>
            <w:pPr>
              <w:pStyle w:val="Compact"/>
            </w:pPr>
            <w:r>
              <w:t xml:space="preserve">8.3393</w:t>
            </w:r>
          </w:p>
        </w:tc>
        <w:tc>
          <w:tcPr/>
          <w:p>
            <w:pPr>
              <w:pStyle w:val="Compact"/>
            </w:pPr>
            <w:r>
              <w:t xml:space="preserve">2.8348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0.3390</w:t>
            </w:r>
          </w:p>
        </w:tc>
        <w:tc>
          <w:tcPr/>
          <w:p>
            <w:pPr>
              <w:pStyle w:val="Compact"/>
            </w:pPr>
            <w:r>
              <w:t xml:space="preserve">0.1613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9.2388</w:t>
            </w:r>
          </w:p>
        </w:tc>
        <w:tc>
          <w:tcPr/>
          <w:p>
            <w:pPr>
              <w:pStyle w:val="Compact"/>
            </w:pPr>
            <w:r>
              <w:t xml:space="preserve">9.6119</w:t>
            </w:r>
          </w:p>
        </w:tc>
        <w:tc>
          <w:tcPr/>
          <w:p>
            <w:pPr>
              <w:pStyle w:val="Compact"/>
            </w:pPr>
            <w:r>
              <w:t xml:space="preserve">3.0650</w:t>
            </w:r>
          </w:p>
        </w:tc>
        <w:tc>
          <w:tcPr/>
          <w:p>
            <w:pPr>
              <w:pStyle w:val="Compact"/>
            </w:pPr>
            <w:r>
              <w:t xml:space="preserve">0.3842</w:t>
            </w:r>
          </w:p>
        </w:tc>
        <w:tc>
          <w:tcPr/>
          <w:p>
            <w:pPr>
              <w:pStyle w:val="Compact"/>
            </w:pPr>
            <w:r>
              <w:t xml:space="preserve">-0.1142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6.7829</w:t>
            </w:r>
          </w:p>
        </w:tc>
        <w:tc>
          <w:tcPr/>
          <w:p>
            <w:pPr>
              <w:pStyle w:val="Compact"/>
            </w:pPr>
            <w:r>
              <w:t xml:space="preserve">8.2358</w:t>
            </w:r>
          </w:p>
        </w:tc>
        <w:tc>
          <w:tcPr/>
          <w:p>
            <w:pPr>
              <w:pStyle w:val="Compact"/>
            </w:pPr>
            <w:r>
              <w:t xml:space="preserve">2.7589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0.1820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6.9702</w:t>
            </w:r>
          </w:p>
        </w:tc>
        <w:tc>
          <w:tcPr/>
          <w:p>
            <w:pPr>
              <w:pStyle w:val="Compact"/>
            </w:pPr>
            <w:r>
              <w:t xml:space="preserve">8.3488</w:t>
            </w:r>
          </w:p>
        </w:tc>
        <w:tc>
          <w:tcPr/>
          <w:p>
            <w:pPr>
              <w:pStyle w:val="Compact"/>
            </w:pPr>
            <w:r>
              <w:t xml:space="preserve">2.9353</w:t>
            </w:r>
          </w:p>
        </w:tc>
        <w:tc>
          <w:tcPr/>
          <w:p>
            <w:pPr>
              <w:pStyle w:val="Compact"/>
            </w:pPr>
            <w:r>
              <w:t xml:space="preserve">0.3473</w:t>
            </w:r>
          </w:p>
        </w:tc>
        <w:tc>
          <w:tcPr/>
          <w:p>
            <w:pPr>
              <w:pStyle w:val="Compact"/>
            </w:pPr>
            <w:r>
              <w:t xml:space="preserve">0.1594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6.9568</w:t>
            </w:r>
          </w:p>
        </w:tc>
        <w:tc>
          <w:tcPr/>
          <w:p>
            <w:pPr>
              <w:pStyle w:val="Compact"/>
            </w:pPr>
            <w:r>
              <w:t xml:space="preserve">8.3408</w:t>
            </w:r>
          </w:p>
        </w:tc>
        <w:tc>
          <w:tcPr/>
          <w:p>
            <w:pPr>
              <w:pStyle w:val="Compact"/>
            </w:pPr>
            <w:r>
              <w:t xml:space="preserve">2.8948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0.1610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7.5510</w:t>
            </w:r>
          </w:p>
        </w:tc>
        <w:tc>
          <w:tcPr/>
          <w:p>
            <w:pPr>
              <w:pStyle w:val="Compact"/>
            </w:pPr>
            <w:r>
              <w:t xml:space="preserve">8.6897</w:t>
            </w:r>
          </w:p>
        </w:tc>
        <w:tc>
          <w:tcPr/>
          <w:p>
            <w:pPr>
              <w:pStyle w:val="Compact"/>
            </w:pPr>
            <w:r>
              <w:t xml:space="preserve">2.9196</w:t>
            </w:r>
          </w:p>
        </w:tc>
        <w:tc>
          <w:tcPr/>
          <w:p>
            <w:pPr>
              <w:pStyle w:val="Compact"/>
            </w:pPr>
            <w:r>
              <w:t xml:space="preserve">0.3890</w:t>
            </w:r>
          </w:p>
        </w:tc>
        <w:tc>
          <w:tcPr/>
          <w:p>
            <w:pPr>
              <w:pStyle w:val="Compac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6.8914</w:t>
            </w:r>
          </w:p>
        </w:tc>
        <w:tc>
          <w:tcPr/>
          <w:p>
            <w:pPr>
              <w:pStyle w:val="Compact"/>
            </w:pPr>
            <w:r>
              <w:t xml:space="preserve">8.3014</w:t>
            </w:r>
          </w:p>
        </w:tc>
        <w:tc>
          <w:tcPr/>
          <w:p>
            <w:pPr>
              <w:pStyle w:val="Compact"/>
            </w:pPr>
            <w:r>
              <w:t xml:space="preserve">2.8794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0.3582</w:t>
            </w:r>
          </w:p>
        </w:tc>
        <w:tc>
          <w:tcPr/>
          <w:p>
            <w:pPr>
              <w:pStyle w:val="Compact"/>
            </w:pPr>
            <w:r>
              <w:t xml:space="preserve">0.1689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6.9924</w:t>
            </w:r>
          </w:p>
        </w:tc>
        <w:tc>
          <w:tcPr/>
          <w:p>
            <w:pPr>
              <w:pStyle w:val="Compact"/>
            </w:pPr>
            <w:r>
              <w:t xml:space="preserve">8.3620</w:t>
            </w:r>
          </w:p>
        </w:tc>
        <w:tc>
          <w:tcPr/>
          <w:p>
            <w:pPr>
              <w:pStyle w:val="Compact"/>
            </w:pPr>
            <w:r>
              <w:t xml:space="preserve">3.0063</w:t>
            </w:r>
          </w:p>
        </w:tc>
        <w:tc>
          <w:tcPr/>
          <w:p>
            <w:pPr>
              <w:pStyle w:val="Compact"/>
            </w:pPr>
            <w:r>
              <w:t xml:space="preserve">0.3701</w:t>
            </w:r>
          </w:p>
        </w:tc>
        <w:tc>
          <w:tcPr/>
          <w:p>
            <w:pPr>
              <w:pStyle w:val="Compact"/>
            </w:pPr>
            <w:r>
              <w:t xml:space="preserve">0.1567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Diebold–Mariano, graph study</w:t>
      </w:r>
      <w:r>
        <w:t xml:space="preserve"> </w:t>
      </w:r>
      <w:r>
        <w:t xml:space="preserve">(</w:t>
      </w:r>
      <w:r>
        <w:rPr>
          <w:rStyle w:val="VerbatimChar"/>
        </w:rPr>
        <w:t xml:space="preserve">Ours</w:t>
      </w:r>
      <w:r>
        <w:t xml:space="preserve"> </w:t>
      </w:r>
      <w:r>
        <w:t xml:space="preserve">= LSTM+GAT; negative statistic favors the first-named model;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denotes p &lt; 0.05):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LSTM+GAT vs HAR (QLIKE)</w:t>
            </w:r>
          </w:p>
        </w:tc>
        <w:tc>
          <w:tcPr/>
          <w:p>
            <w:pPr>
              <w:pStyle w:val="Compact"/>
            </w:pPr>
            <w:r>
              <w:t xml:space="preserve">LSTM+GAT vs GARCH (QLIKE)</w:t>
            </w:r>
          </w:p>
        </w:tc>
        <w:tc>
          <w:tcPr/>
          <w:p>
            <w:pPr>
              <w:pStyle w:val="Compact"/>
            </w:pPr>
            <w:r>
              <w:t xml:space="preserve">LSTM+GAT vs LSTM (w/o GAT)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+9.11* HAR</w:t>
            </w:r>
          </w:p>
        </w:tc>
        <w:tc>
          <w:tcPr/>
          <w:p>
            <w:pPr>
              <w:pStyle w:val="Compact"/>
            </w:pPr>
            <w:r>
              <w:t xml:space="preserve">−10.22* LSTM+GAT</w:t>
            </w:r>
          </w:p>
        </w:tc>
        <w:tc>
          <w:tcPr/>
          <w:p>
            <w:pPr>
              <w:pStyle w:val="Compact"/>
            </w:pPr>
            <w:r>
              <w:t xml:space="preserve">+6.40*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+6.09* HAR</w:t>
            </w:r>
          </w:p>
        </w:tc>
        <w:tc>
          <w:tcPr/>
          <w:p>
            <w:pPr>
              <w:pStyle w:val="Compact"/>
            </w:pPr>
            <w:r>
              <w:t xml:space="preserve">−5.00* LSTM+GAT</w:t>
            </w:r>
          </w:p>
        </w:tc>
        <w:tc>
          <w:tcPr/>
          <w:p>
            <w:pPr>
              <w:pStyle w:val="Compact"/>
            </w:pPr>
            <w:r>
              <w:t xml:space="preserve">+4.94*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+4.01* HAR</w:t>
            </w:r>
          </w:p>
        </w:tc>
        <w:tc>
          <w:tcPr/>
          <w:p>
            <w:pPr>
              <w:pStyle w:val="Compact"/>
            </w:pPr>
            <w:r>
              <w:t xml:space="preserve">−7.39* LSTM+GAT</w:t>
            </w:r>
          </w:p>
        </w:tc>
        <w:tc>
          <w:tcPr/>
          <w:p>
            <w:pPr>
              <w:pStyle w:val="Compact"/>
            </w:pPr>
            <w:r>
              <w:t xml:space="preserve">+0.93 (p=0.35)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+1.11 (p=0.27) tie</w:t>
            </w:r>
          </w:p>
        </w:tc>
        <w:tc>
          <w:tcPr/>
          <w:p>
            <w:pPr>
              <w:pStyle w:val="Compact"/>
            </w:pPr>
            <w:r>
              <w:t xml:space="preserve">−3.66* LSTM+GAT</w:t>
            </w:r>
          </w:p>
        </w:tc>
        <w:tc>
          <w:tcPr/>
          <w:p>
            <w:pPr>
              <w:pStyle w:val="Compact"/>
            </w:pPr>
            <w:r>
              <w:t xml:space="preserve">+0.38 (p=0.70)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+2.53 (p=0.011)* HAR</w:t>
            </w:r>
          </w:p>
        </w:tc>
        <w:tc>
          <w:tcPr/>
          <w:p>
            <w:pPr>
              <w:pStyle w:val="Compact"/>
            </w:pPr>
            <w:r>
              <w:t xml:space="preserve">−11.02* LSTM+GAT</w:t>
            </w:r>
          </w:p>
        </w:tc>
        <w:tc>
          <w:tcPr/>
          <w:p>
            <w:pPr>
              <w:pStyle w:val="Compact"/>
            </w:pPr>
            <w:r>
              <w:t xml:space="preserve">+3.23*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+0.59 (p=0.55) tie</w:t>
            </w:r>
          </w:p>
        </w:tc>
        <w:tc>
          <w:tcPr/>
          <w:p>
            <w:pPr>
              <w:pStyle w:val="Compact"/>
            </w:pPr>
            <w:r>
              <w:t xml:space="preserve">−5.27* LSTM+GAT</w:t>
            </w:r>
          </w:p>
        </w:tc>
        <w:tc>
          <w:tcPr/>
          <w:p>
            <w:pPr>
              <w:pStyle w:val="Compact"/>
            </w:pPr>
            <w:r>
              <w:t xml:space="preserve">+6.87* w/o-GAT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The leave-one-out ablation is unambiguous on the decision metric:</w:t>
      </w:r>
      <w:r>
        <w:t xml:space="preserve"> </w:t>
      </w:r>
      <w:r>
        <w:rPr>
          <w:b/>
          <w:bCs/>
        </w:rPr>
        <w:t xml:space="preserve">removing the GAT branch</w:t>
      </w:r>
      <w:r>
        <w:rPr>
          <w:b/>
          <w:bCs/>
        </w:rPr>
        <w:t xml:space="preserve"> </w:t>
      </w:r>
      <w:r>
        <w:rPr>
          <w:b/>
          <w:bCs/>
        </w:rPr>
        <w:t xml:space="preserve">improves QLIKE in all eight configurations</w:t>
      </w:r>
      <w:r>
        <w:t xml:space="preserve"> </w:t>
      </w:r>
      <w:r>
        <w:t xml:space="preserve">(the LSTM (w/o GAT) vs LSTM+GAT column favors the no-graph</w:t>
      </w:r>
      <w:r>
        <w:t xml:space="preserve"> </w:t>
      </w:r>
      <w:r>
        <w:t xml:space="preserve">model everywhere, significantly on VN30 and S&amp;P 500). The graph therefore does not help; at best it is</w:t>
      </w:r>
      <w:r>
        <w:t xml:space="preserve"> </w:t>
      </w:r>
      <w:r>
        <w:t xml:space="preserve">QLIKE-neutral on VN100. On the squared-error loss the graph is neutral-to-slightly-helpful only on VN100</w:t>
      </w:r>
      <w:r>
        <w:t xml:space="preserve"> </w:t>
      </w:r>
      <w:r>
        <w:t xml:space="preserve">(where LSTM+GAT has the lower MSE at both horizons) and hurts elsewhere, so no metric supports adopting the</w:t>
      </w:r>
      <w:r>
        <w:t xml:space="preserve"> </w:t>
      </w:r>
      <w:r>
        <w:t xml:space="preserve">graph as a general improvement. Under this snapshot design HAR is the strongest model on the Vietnamese</w:t>
      </w:r>
      <w:r>
        <w:t xml:space="preserve"> </w:t>
      </w:r>
      <w:r>
        <w:t xml:space="preserve">panels, whereas on the large S&amp;P 500 the price-only LSTM (w/o GAT) attains the best QLIKE at h5</w:t>
      </w:r>
      <w:r>
        <w:t xml:space="preserve"> </w:t>
      </w:r>
      <w:r>
        <w:t xml:space="preserve">(0.3582 versus HAR 0.3680) and the best MSE and R² at both horizons — the data-scaling pattern of</w:t>
      </w:r>
      <w:r>
        <w:t xml:space="preserve"> </w:t>
      </w:r>
      <w:r>
        <w:t xml:space="preserve">Section 6.4. All learned models again beat GARCH.</w:t>
      </w:r>
    </w:p>
    <w:bookmarkEnd w:id="24"/>
    <w:bookmarkStart w:id="25" w:name="Xc665586c2967a9ae172985c914b9f7174b814c7"/>
    <w:p>
      <w:pPr>
        <w:pStyle w:val="Heading3"/>
      </w:pPr>
      <w:r>
        <w:t xml:space="preserve">6.3 Lookback variation — 10 versus 22 (design: common-date snapshot, VN30)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results/soict/vn30_lb{10,22}_h{1,5}/result.json</w:t>
      </w:r>
      <w:r>
        <w:rPr>
          <w:i/>
          <w:iCs/>
        </w:rPr>
        <w:t xml:space="preserve"> </w:t>
      </w:r>
      <w:r>
        <w:rPr>
          <w:i/>
          <w:iCs/>
        </w:rPr>
        <w:t xml:space="preserve">(lb22 test n = 4,323/4,290). Lookback-10 numbers</w:t>
      </w:r>
      <w:r>
        <w:rPr>
          <w:i/>
          <w:iCs/>
        </w:rPr>
        <w:t xml:space="preserve"> </w:t>
      </w:r>
      <w:r>
        <w:rPr>
          <w:i/>
          <w:iCs/>
        </w:rPr>
        <w:t xml:space="preserve">are in Section 6.2.</w:t>
      </w:r>
    </w:p>
    <w:p>
      <w:pPr>
        <w:pStyle w:val="BodyText"/>
      </w:pPr>
      <w:r>
        <w:rPr>
          <w:b/>
          <w:bCs/>
        </w:rPr>
        <w:t xml:space="preserve">VN30, lookback 22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2.1553</w:t>
            </w:r>
          </w:p>
        </w:tc>
        <w:tc>
          <w:tcPr/>
          <w:p>
            <w:pPr>
              <w:pStyle w:val="Compact"/>
            </w:pPr>
            <w:r>
              <w:t xml:space="preserve">4.6425</w:t>
            </w:r>
          </w:p>
        </w:tc>
        <w:tc>
          <w:tcPr/>
          <w:p>
            <w:pPr>
              <w:pStyle w:val="Compact"/>
            </w:pPr>
            <w:r>
              <w:t xml:space="preserve">2.7799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0.3969</w:t>
            </w:r>
          </w:p>
        </w:tc>
        <w:tc>
          <w:tcPr/>
          <w:p>
            <w:pPr>
              <w:pStyle w:val="Compact"/>
            </w:pPr>
            <w:r>
              <w:t xml:space="preserve">0.3078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3.0784</w:t>
            </w:r>
          </w:p>
        </w:tc>
        <w:tc>
          <w:tcPr/>
          <w:p>
            <w:pPr>
              <w:pStyle w:val="Compact"/>
            </w:pPr>
            <w:r>
              <w:t xml:space="preserve">5.5483</w:t>
            </w:r>
          </w:p>
        </w:tc>
        <w:tc>
          <w:tcPr/>
          <w:p>
            <w:pPr>
              <w:pStyle w:val="Compact"/>
            </w:pPr>
            <w:r>
              <w:t xml:space="preserve">3.4958</w:t>
            </w:r>
          </w:p>
        </w:tc>
        <w:tc>
          <w:tcPr/>
          <w:p>
            <w:pPr>
              <w:pStyle w:val="Compact"/>
            </w:pPr>
            <w:r>
              <w:t xml:space="preserve">0.6034</w:t>
            </w:r>
          </w:p>
        </w:tc>
        <w:tc>
          <w:tcPr/>
          <w:p>
            <w:pPr>
              <w:pStyle w:val="Compac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2.2877</w:t>
            </w:r>
          </w:p>
        </w:tc>
        <w:tc>
          <w:tcPr/>
          <w:p>
            <w:pPr>
              <w:pStyle w:val="Compact"/>
            </w:pPr>
            <w:r>
              <w:t xml:space="preserve">4.7830</w:t>
            </w:r>
          </w:p>
        </w:tc>
        <w:tc>
          <w:tcPr/>
          <w:p>
            <w:pPr>
              <w:pStyle w:val="Compact"/>
            </w:pPr>
            <w:r>
              <w:t xml:space="preserve">2.8991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0.2653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2.5588</w:t>
            </w:r>
          </w:p>
        </w:tc>
        <w:tc>
          <w:tcPr/>
          <w:p>
            <w:pPr>
              <w:pStyle w:val="Compact"/>
            </w:pPr>
            <w:r>
              <w:t xml:space="preserve">5.0584</w:t>
            </w:r>
          </w:p>
        </w:tc>
        <w:tc>
          <w:tcPr/>
          <w:p>
            <w:pPr>
              <w:pStyle w:val="Compact"/>
            </w:pPr>
            <w:r>
              <w:t xml:space="preserve">3.1228</w:t>
            </w:r>
          </w:p>
        </w:tc>
        <w:tc>
          <w:tcPr/>
          <w:p>
            <w:pPr>
              <w:pStyle w:val="Compact"/>
            </w:pPr>
            <w:r>
              <w:t xml:space="preserve">0.4714</w:t>
            </w:r>
          </w:p>
        </w:tc>
        <w:tc>
          <w:tcPr/>
          <w:p>
            <w:pPr>
              <w:pStyle w:val="Compact"/>
            </w:pPr>
            <w:r>
              <w:t xml:space="preserve">0.1782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2.4353</w:t>
            </w:r>
          </w:p>
        </w:tc>
        <w:tc>
          <w:tcPr/>
          <w:p>
            <w:pPr>
              <w:pStyle w:val="Compact"/>
            </w:pPr>
            <w:r>
              <w:t xml:space="preserve">4.9349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0.4547</w:t>
            </w:r>
          </w:p>
        </w:tc>
        <w:tc>
          <w:tcPr/>
          <w:p>
            <w:pPr>
              <w:pStyle w:val="Compact"/>
            </w:pPr>
            <w:r>
              <w:t xml:space="preserve">0.2150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3.0142</w:t>
            </w:r>
          </w:p>
        </w:tc>
        <w:tc>
          <w:tcPr/>
          <w:p>
            <w:pPr>
              <w:pStyle w:val="Compact"/>
            </w:pPr>
            <w:r>
              <w:t xml:space="preserve">5.4902</w:t>
            </w:r>
          </w:p>
        </w:tc>
        <w:tc>
          <w:tcPr/>
          <w:p>
            <w:pPr>
              <w:pStyle w:val="Compact"/>
            </w:pPr>
            <w:r>
              <w:t xml:space="preserve">3.4269</w:t>
            </w:r>
          </w:p>
        </w:tc>
        <w:tc>
          <w:tcPr/>
          <w:p>
            <w:pPr>
              <w:pStyle w:val="Compact"/>
            </w:pPr>
            <w:r>
              <w:t xml:space="preserve">0.5980</w:t>
            </w:r>
          </w:p>
        </w:tc>
        <w:tc>
          <w:tcPr/>
          <w:p>
            <w:pPr>
              <w:pStyle w:val="Compact"/>
            </w:pPr>
            <w:r>
              <w:t xml:space="preserve">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2.5381</w:t>
            </w:r>
          </w:p>
        </w:tc>
        <w:tc>
          <w:tcPr/>
          <w:p>
            <w:pPr>
              <w:pStyle w:val="Compact"/>
            </w:pPr>
            <w:r>
              <w:t xml:space="preserve">5.0379</w:t>
            </w:r>
          </w:p>
        </w:tc>
        <w:tc>
          <w:tcPr/>
          <w:p>
            <w:pPr>
              <w:pStyle w:val="Compact"/>
            </w:pPr>
            <w:r>
              <w:t xml:space="preserve">3.0919</w:t>
            </w:r>
          </w:p>
        </w:tc>
        <w:tc>
          <w:tcPr/>
          <w:p>
            <w:pPr>
              <w:pStyle w:val="Compact"/>
            </w:pPr>
            <w:r>
              <w:t xml:space="preserve">0.4692</w:t>
            </w:r>
          </w:p>
        </w:tc>
        <w:tc>
          <w:tcPr/>
          <w:p>
            <w:pPr>
              <w:pStyle w:val="Compact"/>
            </w:pPr>
            <w:r>
              <w:t xml:space="preserve">0.1819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2.8060</w:t>
            </w:r>
          </w:p>
        </w:tc>
        <w:tc>
          <w:tcPr/>
          <w:p>
            <w:pPr>
              <w:pStyle w:val="Compact"/>
            </w:pPr>
            <w:r>
              <w:t xml:space="preserve">5.2972</w:t>
            </w:r>
          </w:p>
        </w:tc>
        <w:tc>
          <w:tcPr/>
          <w:p>
            <w:pPr>
              <w:pStyle w:val="Compact"/>
            </w:pPr>
            <w:r>
              <w:t xml:space="preserve">3.4238</w:t>
            </w:r>
          </w:p>
        </w:tc>
        <w:tc>
          <w:tcPr/>
          <w:p>
            <w:pPr>
              <w:pStyle w:val="Compact"/>
            </w:pPr>
            <w:r>
              <w:t xml:space="preserve">0.5166</w:t>
            </w:r>
          </w:p>
        </w:tc>
        <w:tc>
          <w:tcPr/>
          <w:p>
            <w:pPr>
              <w:pStyle w:val="Compact"/>
            </w:pPr>
            <w:r>
              <w:t xml:space="preserve">0.0955</w:t>
            </w:r>
          </w:p>
        </w:tc>
      </w:tr>
    </w:tbl>
    <w:p>
      <w:pPr>
        <w:pStyle w:val="BodyText"/>
      </w:pPr>
      <w:r>
        <w:t xml:space="preserve">Comparing to the lookback-10 snapshot results (Section 6.2), the longer lookback does not help the deep</w:t>
      </w:r>
      <w:r>
        <w:t xml:space="preserve"> </w:t>
      </w:r>
      <w:r>
        <w:t xml:space="preserve">models: LSTM (w/o GAT) QLIKE is essentially unchanged at h1 (0.4137 versus 0.4120) and h5 (0.4692 versus</w:t>
      </w:r>
      <w:r>
        <w:t xml:space="preserve"> </w:t>
      </w:r>
      <w:r>
        <w:t xml:space="preserve">0.4663), while LSTM+GAT is slightly worse at lookback 22 (0.4714 versus 0.4528 at h1). HAR is nearly</w:t>
      </w:r>
      <w:r>
        <w:t xml:space="preserve"> </w:t>
      </w:r>
      <w:r>
        <w:t xml:space="preserve">invariant to the lookback because its features are precomputed rolling aggregates. The DM ablation verdict</w:t>
      </w:r>
      <w:r>
        <w:t xml:space="preserve"> </w:t>
      </w:r>
      <w:r>
        <w:t xml:space="preserve">is unchanged: at lookback 22 the graph again hurts (LSTM+GAT vs LSTM (w/o GAT) on QLIKE is +8.80 at h1 and</w:t>
      </w:r>
      <w:r>
        <w:t xml:space="preserve"> </w:t>
      </w:r>
      <w:r>
        <w:t xml:space="preserve">+5.92 at h5, both favoring the no-graph model, p &lt; 0.001).</w:t>
      </w:r>
    </w:p>
    <w:bookmarkEnd w:id="25"/>
    <w:bookmarkStart w:id="26" w:name="cross-market-and-data-scaling"/>
    <w:p>
      <w:pPr>
        <w:pStyle w:val="Heading3"/>
      </w:pPr>
      <w:r>
        <w:t xml:space="preserve">6.4 Cross-market and data scaling</w:t>
      </w:r>
    </w:p>
    <w:p>
      <w:pPr>
        <w:pStyle w:val="FirstParagraph"/>
      </w:pPr>
      <w:r>
        <w:t xml:space="preserve">Reading QLIKE across panels of increasing size, under the panel-correct date-clustered inference of</w:t>
      </w:r>
      <w:r>
        <w:t xml:space="preserve"> </w:t>
      </w:r>
      <w:r>
        <w:t xml:space="preserve">Section 6.6, shows a consistent data-scaling gradient. On the small VN30 (33 tickers) HAR is best at every</w:t>
      </w:r>
      <w:r>
        <w:t xml:space="preserve"> </w:t>
      </w:r>
      <w:r>
        <w:t xml:space="preserve">horizon and no learned model beats it significantly. On VN100 (104 tickers) the point-estimate gaps narrow</w:t>
      </w:r>
      <w:r>
        <w:t xml:space="preserve"> </w:t>
      </w:r>
      <w:r>
        <w:t xml:space="preserve">and turn slightly in the deep models’ favor at the long horizons, but still without date-clustered</w:t>
      </w:r>
      <w:r>
        <w:t xml:space="preserve"> </w:t>
      </w:r>
      <w:r>
        <w:t xml:space="preserve">significance (the closest cell, the convex combination at h22, reaches p = 0.078). On the large S&amp;P 500</w:t>
      </w:r>
      <w:r>
        <w:t xml:space="preserve"> </w:t>
      </w:r>
      <w:r>
        <w:t xml:space="preserve">subset (457 tickers) the deep temporal LSTM significantly beats HAR at every horizon (dQLIKE +3.01% at h1</w:t>
      </w:r>
      <w:r>
        <w:t xml:space="preserve"> </w:t>
      </w:r>
      <w:r>
        <w:t xml:space="preserve">to +7.10% at h22, all p&lt;0.001 except h10 at p = 0.0013), and the convex combination beats HAR at every</w:t>
      </w:r>
      <w:r>
        <w:t xml:space="preserve"> </w:t>
      </w:r>
      <w:r>
        <w:t xml:space="preserve">horizon (p&lt;0.001). The qualitative conclusion — deep-versus-HAR competitiveness grows with the size of the</w:t>
      </w:r>
      <w:r>
        <w:t xml:space="preserve"> </w:t>
      </w:r>
      <w:r>
        <w:t xml:space="preserve">panel, and the significant beat-HAR result emerges only once the panel is large and data-rich — is the</w:t>
      </w:r>
      <w:r>
        <w:t xml:space="preserve"> </w:t>
      </w:r>
      <w:r>
        <w:t xml:space="preserve">central data-scaling observation of the paper, and it holds under panel-correct inference rather than the</w:t>
      </w:r>
      <w:r>
        <w:t xml:space="preserve"> </w:t>
      </w:r>
      <w:r>
        <w:t xml:space="preserve">naive per-observation test.</w:t>
      </w:r>
    </w:p>
    <w:p>
      <w:r>
        <w:pict>
          <v:rect style="width:0;height:1.5pt" o:hralign="center" o:hrstd="t" o:hr="t"/>
        </w:pict>
      </w:r>
    </w:p>
    <w:bookmarkEnd w:id="26"/>
    <w:bookmarkStart w:id="27" w:name="X9ae993f130b47773ddd0fd7e0f236bfc3d28fb9"/>
    <w:p>
      <w:pPr>
        <w:pStyle w:val="Heading3"/>
      </w:pPr>
      <w:r>
        <w:t xml:space="preserve">6.5 Long-horizon study — h10 and h22 (design: per-observation)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results/soict_perobs/{panel}_lb10_h{10,22}/result.json</w:t>
      </w:r>
      <w:r>
        <w:rPr>
          <w:i/>
          <w:iCs/>
        </w:rPr>
        <w:t xml:space="preserve">. S&amp;P~500 long-horizon runs were</w:t>
      </w:r>
      <w:r>
        <w:rPr>
          <w:i/>
          <w:iCs/>
        </w:rPr>
        <w:t xml:space="preserve"> </w:t>
      </w:r>
      <w:r>
        <w:rPr>
          <w:i/>
          <w:iCs/>
        </w:rPr>
        <w:t xml:space="preserve">still completing at submission time and will be added; the Vietnamese primary-market results below are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and consistent with the horizon pattern.</w:t>
      </w:r>
    </w:p>
    <w:p>
      <w:pPr>
        <w:pStyle w:val="BodyText"/>
      </w:pPr>
      <w:r>
        <w:t xml:space="preserve">To locate where the deep model’s short-horizon advantage ends, we extend the main per-observation study</w:t>
      </w:r>
      <w:r>
        <w:t xml:space="preserve"> </w:t>
      </w:r>
      <w:r>
        <w:t xml:space="preserve">to h10 (two trading weeks) and h22 (roughly one trading month).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HAR QLIKE</w:t>
            </w:r>
          </w:p>
        </w:tc>
        <w:tc>
          <w:tcPr/>
          <w:p>
            <w:pPr>
              <w:pStyle w:val="Compact"/>
            </w:pPr>
            <w:r>
              <w:t xml:space="preserve">GARCH QLIKE</w:t>
            </w:r>
          </w:p>
        </w:tc>
        <w:tc>
          <w:tcPr/>
          <w:p>
            <w:pPr>
              <w:pStyle w:val="Compact"/>
            </w:pPr>
            <w:r>
              <w:t xml:space="preserve">LSTM QLIKE</w:t>
            </w:r>
          </w:p>
        </w:tc>
        <w:tc>
          <w:tcPr/>
          <w:p>
            <w:pPr>
              <w:pStyle w:val="Compact"/>
            </w:pPr>
            <w:r>
              <w:t xml:space="preserve">HAR R²</w:t>
            </w:r>
          </w:p>
        </w:tc>
        <w:tc>
          <w:tcPr/>
          <w:p>
            <w:pPr>
              <w:pStyle w:val="Compact"/>
            </w:pPr>
            <w:r>
              <w:t xml:space="preserve">LSTM R²</w:t>
            </w:r>
          </w:p>
        </w:tc>
        <w:tc>
          <w:tcPr/>
          <w:p>
            <w:pPr>
              <w:pStyle w:val="Compact"/>
            </w:pPr>
            <w:r>
              <w:t xml:space="preserve">DM LSTM-vs-HAR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0.5925</w:t>
            </w:r>
          </w:p>
        </w:tc>
        <w:tc>
          <w:tcPr/>
          <w:p>
            <w:pPr>
              <w:pStyle w:val="Compact"/>
            </w:pPr>
            <w:r>
              <w:t xml:space="preserve">0.7361</w:t>
            </w:r>
          </w:p>
        </w:tc>
        <w:tc>
          <w:tcPr/>
          <w:p>
            <w:pPr>
              <w:pStyle w:val="Compact"/>
            </w:pPr>
            <w:r>
              <w:t xml:space="preserve">0.5908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−0.29 (p=0.77)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0.6366</w:t>
            </w:r>
          </w:p>
        </w:tc>
        <w:tc>
          <w:tcPr/>
          <w:p>
            <w:pPr>
              <w:pStyle w:val="Compact"/>
            </w:pPr>
            <w:r>
              <w:t xml:space="preserve">0.7307</w:t>
            </w:r>
          </w:p>
        </w:tc>
        <w:tc>
          <w:tcPr/>
          <w:p>
            <w:pPr>
              <w:pStyle w:val="Compact"/>
            </w:pPr>
            <w:r>
              <w:t xml:space="preserve">0.6433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+0.83 (p=0.40)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0.5773</w:t>
            </w:r>
          </w:p>
        </w:tc>
        <w:tc>
          <w:tcPr/>
          <w:p>
            <w:pPr>
              <w:pStyle w:val="Compact"/>
            </w:pPr>
            <w:r>
              <w:t xml:space="preserve">0.6959</w:t>
            </w:r>
          </w:p>
        </w:tc>
        <w:tc>
          <w:tcPr/>
          <w:p>
            <w:pPr>
              <w:pStyle w:val="Compact"/>
            </w:pPr>
            <w:r>
              <w:t xml:space="preserve">0.5737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−1.25 (p=0.21)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0.6112</w:t>
            </w:r>
          </w:p>
        </w:tc>
        <w:tc>
          <w:tcPr/>
          <w:p>
            <w:pPr>
              <w:pStyle w:val="Compact"/>
            </w:pPr>
            <w:r>
              <w:t xml:space="preserve">0.6917</w:t>
            </w:r>
          </w:p>
        </w:tc>
        <w:tc>
          <w:tcPr/>
          <w:p>
            <w:pPr>
              <w:pStyle w:val="Compact"/>
            </w:pPr>
            <w:r>
              <w:t xml:space="preserve">0.6129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+0.41 (p=0.68) tie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At the long horizons the LSTM and HAR are statistically tied on QLIKE in every cell of this</w:t>
      </w:r>
      <w:r>
        <w:t xml:space="preserve"> </w:t>
      </w:r>
      <w:r>
        <w:t xml:space="preserve">per-observation study — the point estimates are within a fraction of a percent and the sign alternates (LSTM</w:t>
      </w:r>
      <w:r>
        <w:t xml:space="preserve"> </w:t>
      </w:r>
      <w:r>
        <w:t xml:space="preserve">marginally lower at h10, HAR marginally lower at h22), with no per-observation Diebold–Mariano significance</w:t>
      </w:r>
      <w:r>
        <w:t xml:space="preserve"> </w:t>
      </w:r>
      <w:r>
        <w:t xml:space="preserve">in either direction. Both still beat GARCH. This is consistent with the panel-correct verdict of</w:t>
      </w:r>
      <w:r>
        <w:t xml:space="preserve"> </w:t>
      </w:r>
      <w:r>
        <w:t xml:space="preserve">Section 6.6, where no model beats HAR on the Vietnamese panels at any horizon: the deep model’s point-estimate</w:t>
      </w:r>
      <w:r>
        <w:t xml:space="preserve"> </w:t>
      </w:r>
      <w:r>
        <w:t xml:space="preserve">edge, where it exists, is a short-horizon effect that weakens as the target’s own-history predictability</w:t>
      </w:r>
      <w:r>
        <w:t xml:space="preserve"> </w:t>
      </w:r>
      <w:r>
        <w:t xml:space="preserve">falls and the two models converge. No horizon shows HAR significantly beating the LSTM on the Vietnamese</w:t>
      </w:r>
      <w:r>
        <w:t xml:space="preserve"> </w:t>
      </w:r>
      <w:r>
        <w:t xml:space="preserve">panels either.</w:t>
      </w:r>
    </w:p>
    <w:bookmarkEnd w:id="27"/>
    <w:bookmarkStart w:id="28" w:name="X5d43137c6cc478dd56a2d75fcad0d4dd4bb8c56"/>
    <w:p>
      <w:pPr>
        <w:pStyle w:val="Heading3"/>
      </w:pPr>
      <w:r>
        <w:t xml:space="preserve">6.6 HAR-anchored residual and forecast-combination study (E0–E10)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reports/experiment_results.md</w:t>
      </w:r>
      <w:r>
        <w:rPr>
          <w:i/>
          <w:iCs/>
        </w:rPr>
        <w:t xml:space="preserve">, 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results/har_anchored/{panel}_h{1,5,10,22}/result.json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leakage controls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reports/leakage_audit.md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main study and the graph ablation ask whether a full-target deep model beats HAR. A complementary</w:t>
      </w:r>
      <w:r>
        <w:t xml:space="preserve"> </w:t>
      </w:r>
      <w:r>
        <w:t xml:space="preserve">question is whether HAR-</w:t>
      </w:r>
      <w:r>
        <w:rPr>
          <w:i/>
          <w:iCs/>
        </w:rPr>
        <w:t xml:space="preserve">anchored</w:t>
      </w:r>
      <w:r>
        <w:t xml:space="preserve"> </w:t>
      </w:r>
      <w:r>
        <w:t xml:space="preserve">learning — combining or correcting HAR with a deep expert rather than</w:t>
      </w:r>
      <w:r>
        <w:t xml:space="preserve"> </w:t>
      </w:r>
      <w:r>
        <w:t xml:space="preserve">replacing it — can improve on HAR, and whether the cross-sectional graph contributes anything once HAR</w:t>
      </w:r>
      <w:r>
        <w:t xml:space="preserve"> </w:t>
      </w:r>
      <w:r>
        <w:t xml:space="preserve">carries the level. This study evaluates an eleven-rung ladder under panel-correct inference.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ladder is:</w:t>
      </w:r>
      <w:r>
        <w:t xml:space="preserve"> </w:t>
      </w:r>
      <w:r>
        <w:rPr>
          <w:b/>
          <w:bCs/>
        </w:rPr>
        <w:t xml:space="preserve">E0</w:t>
      </w:r>
      <w:r>
        <w:t xml:space="preserve"> </w:t>
      </w:r>
      <w:r>
        <w:t xml:space="preserve">HAR (locked benchmark);</w:t>
      </w:r>
      <w:r>
        <w:t xml:space="preserve"> </w:t>
      </w:r>
      <w:r>
        <w:rPr>
          <w:b/>
          <w:bCs/>
        </w:rPr>
        <w:t xml:space="preserve">E1</w:t>
      </w:r>
      <w:r>
        <w:t xml:space="preserve"> </w:t>
      </w:r>
      <w:r>
        <w:t xml:space="preserve">full-target LSTM and</w:t>
      </w:r>
      <w:r>
        <w:t xml:space="preserve"> </w:t>
      </w:r>
      <w:r>
        <w:rPr>
          <w:b/>
          <w:bCs/>
        </w:rPr>
        <w:t xml:space="preserve">E2</w:t>
      </w:r>
      <w:r>
        <w:t xml:space="preserve"> </w:t>
      </w:r>
      <w:r>
        <w:t xml:space="preserve">full-target</w:t>
      </w:r>
      <w:r>
        <w:t xml:space="preserve"> </w:t>
      </w:r>
      <w:r>
        <w:t xml:space="preserve">LSTM+GAT (the same neural experts as above, targeting the raw variance);</w:t>
      </w:r>
      <w:r>
        <w:t xml:space="preserve"> </w:t>
      </w:r>
      <w:r>
        <w:rPr>
          <w:b/>
          <w:bCs/>
        </w:rPr>
        <w:t xml:space="preserve">E3</w:t>
      </w:r>
      <w:r>
        <w:t xml:space="preserve"> </w:t>
      </w:r>
      <w:r>
        <w:t xml:space="preserve">a frozen-expert convex</w:t>
      </w:r>
      <w:r>
        <w:t xml:space="preserve"> </w:t>
      </w:r>
      <w:r>
        <w:t xml:space="preserve">combination of HAR and the deep expert with a single mixing weight fit on the validation predictions only</w:t>
      </w:r>
      <w:r>
        <w:t xml:space="preserve"> </w:t>
      </w:r>
      <w:r>
        <w:t xml:space="preserve">(reported as</w:t>
      </w:r>
      <w:r>
        <w:t xml:space="preserve"> </w:t>
      </w:r>
      <w:r>
        <w:rPr>
          <w:rStyle w:val="VerbatimChar"/>
        </w:rPr>
        <w:t xml:space="preserve">E3_blend</w:t>
      </w:r>
      <w:r>
        <w:t xml:space="preserve">);</w:t>
      </w:r>
      <w:r>
        <w:t xml:space="preserve"> </w:t>
      </w:r>
      <w:r>
        <w:rPr>
          <w:b/>
          <w:bCs/>
        </w:rPr>
        <w:t xml:space="preserve">E5/E6/E7</w:t>
      </w:r>
      <w:r>
        <w:t xml:space="preserve"> </w:t>
      </w:r>
      <w:r>
        <w:t xml:space="preserve">additive HAR residual models in which a deep branch (LSTM-only for</w:t>
      </w:r>
      <w:r>
        <w:t xml:space="preserve"> </w:t>
      </w:r>
      <w:r>
        <w:t xml:space="preserve">E5, the graph/GAT branch for E6, the combined LSTM+GAT branch for E7) predicts the HAR residual with a</w:t>
      </w:r>
      <w:r>
        <w:t xml:space="preserve"> </w:t>
      </w:r>
      <w:r>
        <w:t xml:space="preserve">zero-initialized head, so the model equals HAR at initialization;</w:t>
      </w:r>
      <w:r>
        <w:t xml:space="preserve"> </w:t>
      </w:r>
      <w:r>
        <w:rPr>
          <w:b/>
          <w:bCs/>
        </w:rPr>
        <w:t xml:space="preserve">E8</w:t>
      </w:r>
      <w:r>
        <w:t xml:space="preserve"> </w:t>
      </w:r>
      <w:r>
        <w:t xml:space="preserve">a multiplicative HAR-anchored</w:t>
      </w:r>
      <w:r>
        <w:t xml:space="preserve"> </w:t>
      </w:r>
      <w:r>
        <w:t xml:space="preserve">residual,</w:t>
      </w:r>
      <w:r>
        <w:t xml:space="preserve"> </w:t>
      </w:r>
      <w:r>
        <w:rPr>
          <w:rStyle w:val="VerbatimChar"/>
        </w:rPr>
        <w:t xml:space="preserve">(HAR+ε)·exp(correction)</w:t>
      </w:r>
      <w:r>
        <w:t xml:space="preserve">, which is positive and bounded by construction; and</w:t>
      </w:r>
      <w:r>
        <w:t xml:space="preserve"> </w:t>
      </w:r>
      <w:r>
        <w:rPr>
          <w:b/>
          <w:bCs/>
        </w:rPr>
        <w:t xml:space="preserve">E9/E10</w:t>
      </w:r>
      <w:r>
        <w:t xml:space="preserve"> </w:t>
      </w:r>
      <w:r>
        <w:t xml:space="preserve">static</w:t>
      </w:r>
      <w:r>
        <w:t xml:space="preserve"> </w:t>
      </w:r>
      <w:r>
        <w:t xml:space="preserve">and dynamic (regime-aware) gates that scale the residual correction by a learned weight. The design is the</w:t>
      </w:r>
      <w:r>
        <w:t xml:space="preserve"> </w:t>
      </w:r>
      <w:r>
        <w:t xml:space="preserve">common-date snapshot design of Section 6.2 (so the graph is well defined and E5/E6/E7 are same-fold</w:t>
      </w:r>
      <w:r>
        <w:t xml:space="preserve"> </w:t>
      </w:r>
      <w:r>
        <w:t xml:space="preserve">comparable), extended to horizons {1, 5, 10, 22}, with a target-overlap</w:t>
      </w:r>
      <w:r>
        <w:t xml:space="preserve"> </w:t>
      </w:r>
      <w:r>
        <w:rPr>
          <w:b/>
          <w:bCs/>
        </w:rPr>
        <w:t xml:space="preserve">purge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at each</w:t>
      </w:r>
      <w:r>
        <w:t xml:space="preserve"> </w:t>
      </w:r>
      <w:r>
        <w:t xml:space="preserve">split boundary. The HAR anchor is a per-horizon pooled OLS fit on training rows only; residual training</w:t>
      </w:r>
      <w:r>
        <w:t xml:space="preserve"> </w:t>
      </w:r>
      <w:r>
        <w:t xml:space="preserve">targets are built from expanding-window</w:t>
      </w:r>
      <w:r>
        <w:t xml:space="preserve"> </w:t>
      </w:r>
      <w:r>
        <w:rPr>
          <w:b/>
          <w:bCs/>
        </w:rPr>
        <w:t xml:space="preserve">cross-fitted</w:t>
      </w:r>
      <w:r>
        <w:t xml:space="preserve"> </w:t>
      </w:r>
      <w:r>
        <w:t xml:space="preserve">HAR predictions inside the training span, so they</w:t>
      </w:r>
      <w:r>
        <w:t xml:space="preserve"> </w:t>
      </w:r>
      <w:r>
        <w:t xml:space="preserve">reflect out-of-sample residuals rather than optimistic in-sample ones. Each configuration uses five seeds</w:t>
      </w:r>
      <w:r>
        <w:t xml:space="preserve"> </w:t>
      </w:r>
      <w:r>
        <w:t xml:space="preserve">{42, 123, 2026, 7, 2024}; the primary metric is QLIKE on the Parkinson variance. All fits (HAR</w:t>
      </w:r>
      <w:r>
        <w:t xml:space="preserve"> </w:t>
      </w:r>
      <w:r>
        <w:t xml:space="preserve">coefficients, per-ticker scalers, graphical-lasso edges, the convex weight and the gate parameters) use</w:t>
      </w:r>
      <w:r>
        <w:t xml:space="preserve"> </w:t>
      </w:r>
      <w:r>
        <w:t xml:space="preserve">training or validation rows only, with the test set read once (audit:</w:t>
      </w:r>
      <w:r>
        <w:t xml:space="preserve"> </w:t>
      </w:r>
      <w:r>
        <w:rPr>
          <w:rStyle w:val="VerbatimChar"/>
        </w:rPr>
        <w:t xml:space="preserve">reports/leakage_audit.md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Inference.</w:t>
      </w:r>
      <w:r>
        <w:t xml:space="preserve"> </w:t>
      </w:r>
      <w:r>
        <w:t xml:space="preserve">Significance is assessed with the</w:t>
      </w:r>
      <w:r>
        <w:t xml:space="preserve"> </w:t>
      </w:r>
      <w:r>
        <w:rPr>
          <w:b/>
          <w:bCs/>
        </w:rPr>
        <w:t xml:space="preserve">date-clustered</w:t>
      </w:r>
      <w:r>
        <w:t xml:space="preserve"> </w:t>
      </w:r>
      <w:r>
        <w:t xml:space="preserve">Diebold–Mariano test, which collapses</w:t>
      </w:r>
      <w:r>
        <w:t xml:space="preserve"> </w:t>
      </w:r>
      <w:r>
        <w:t xml:space="preserve">the loss differential to one value per calendar date before computing the statistic. All tickers share</w:t>
      </w:r>
      <w:r>
        <w:t xml:space="preserve"> </w:t>
      </w:r>
      <w:r>
        <w:t xml:space="preserve">each date, so a naive per-observation test treats the sample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(cross-section size) times larger than</w:t>
      </w:r>
      <w:r>
        <w:t xml:space="preserve"> </w:t>
      </w:r>
      <w:r>
        <w:t xml:space="preserve">its number of independent dates and overstates significance (Section</w:t>
      </w:r>
      <w:r>
        <w:t xml:space="preserve"> </w:t>
      </w:r>
      <w:r>
        <w:t xml:space="preserve">“Methodological note”</w:t>
      </w:r>
      <w:r>
        <w:t xml:space="preserve"> </w:t>
      </w:r>
      <w:r>
        <w:t xml:space="preserve">below). The</w:t>
      </w:r>
      <w:r>
        <w:t xml:space="preserve"> </w:t>
      </w:r>
      <w:r>
        <w:rPr>
          <w:rStyle w:val="VerbatimChar"/>
        </w:rPr>
        <w:t xml:space="preserve">DM p-value</w:t>
      </w:r>
      <w:r>
        <w:t xml:space="preserve"> </w:t>
      </w:r>
      <w:r>
        <w:t xml:space="preserve">column reported here is the date-clustered value.</w:t>
      </w:r>
    </w:p>
    <w:p>
      <w:pPr>
        <w:pStyle w:val="BodyText"/>
      </w:pPr>
      <w:r>
        <w:rPr>
          <w:b/>
          <w:bCs/>
        </w:rPr>
        <w:t xml:space="preserve">VN30 (33 nodes; snapshot test counts: 4,356 at h1, 4,323 at h5/h10, 4,290 at h22 — on the order of 130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  <w:r>
        <w:t xml:space="preserve"> </w:t>
      </w:r>
      <w:r>
        <w:t xml:space="preserve">QLIKE (lower is better), out-of-sample R² relative to HAR, and the date-clustered</w:t>
      </w:r>
      <w:r>
        <w:t xml:space="preserve"> </w:t>
      </w:r>
      <w:r>
        <w:t xml:space="preserve">DM p-value versus HAR (five-seed means):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nodes; snapshot test counts: 5,096 at h1, 4,992 at h5/h10, 4,888 at h22 — on the order of 50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(long-history subset, 457 nodes; snapshot test counts: 137,100 at h1/h5, 136,643 at h10, 136,186</w:t>
      </w:r>
      <w:r>
        <w:rPr>
          <w:b/>
          <w:bCs/>
        </w:rPr>
        <w:t xml:space="preserve"> </w:t>
      </w:r>
      <w:r>
        <w:rPr>
          <w:b/>
          <w:bCs/>
        </w:rPr>
        <w:t xml:space="preserve">at h22 — on the order of 300 distinct test dates).</w:t>
      </w:r>
      <w:r>
        <w:t xml:space="preserve"> </w:t>
      </w:r>
      <w:r>
        <w:t xml:space="preserve">This is the large, data-rich panel. We report the</w:t>
      </w:r>
      <w:r>
        <w:t xml:space="preserve"> </w:t>
      </w:r>
      <w:r>
        <w:t xml:space="preserve">non-fragile rungs (HAR, GARCH, the full-target LSTM E1, the full-target LSTM+GAT E2 and the convex</w:t>
      </w:r>
      <w:r>
        <w:t xml:space="preserve"> </w:t>
      </w:r>
      <w:r>
        <w:t xml:space="preserve">combination E3); the additive/multiplicative residual rungs (E5–E8) are numerically fragile on this</w:t>
      </w:r>
      <w:r>
        <w:t xml:space="preserve"> </w:t>
      </w:r>
      <w:r>
        <w:t xml:space="preserve">cross-section and are discussed separately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dQLIKE%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(S&amp;P 500).</w:t>
      </w:r>
      <w:r>
        <w:t xml:space="preserve"> </w:t>
      </w:r>
      <w:r>
        <w:t xml:space="preserve">On the large panel the deep temporal LSTM (E1) significantly beats HAR at every</w:t>
      </w:r>
      <w:r>
        <w:t xml:space="preserve"> </w:t>
      </w:r>
      <w:r>
        <w:t xml:space="preserve">horizon under date-clustered inference (dQLIKE from +3.01% at h1 to +7.10% at h22, p&lt;0.001 at h1/h5/h22 and</w:t>
      </w:r>
      <w:r>
        <w:t xml:space="preserve"> </w:t>
      </w:r>
      <w:r>
        <w:t xml:space="preserve">p = 0.001 at h10), and the convex combination (E3) also beats HAR at every horizon (p&lt;0.001). The</w:t>
      </w:r>
      <w:r>
        <w:t xml:space="preserve"> </w:t>
      </w:r>
      <w:r>
        <w:t xml:space="preserve">graph-carrying full model (E2) is weaker than the graph-free LSTM at every horizon (its dQLIKE is smaller,</w:t>
      </w:r>
      <w:r>
        <w:t xml:space="preserve"> </w:t>
      </w:r>
      <w:r>
        <w:t xml:space="preserve">and it fails to beat HAR at h1 and h10), consistent with the graph adding no value. GARCH is dominated. The</w:t>
      </w:r>
      <w:r>
        <w:t xml:space="preserve"> </w:t>
      </w:r>
      <w:r>
        <w:t xml:space="preserve">LSTM’s advantage here is not confined to QLIKE: it also attains the lower RMSE and the lower or equal MAE at</w:t>
      </w:r>
      <w:r>
        <w:t xml:space="preserve"> </w:t>
      </w:r>
      <w:r>
        <w:t xml:space="preserve">every horizon (for example h1 MAE 0.00021 versus HAR 0.00022, RMSE 0.00056 versus 0.00057; source</w:t>
      </w:r>
      <w:r>
        <w:t xml:space="preserve"> </w:t>
      </w:r>
      <w:r>
        <w:rPr>
          <w:rStyle w:val="VerbatimChar"/>
        </w:rPr>
        <w:t xml:space="preserve">reports/experiment_results.md</w:t>
      </w:r>
      <w:r>
        <w:t xml:space="preserve">), so on the data-rich panel the deep temporal model leads across metrics.</w:t>
      </w:r>
    </w:p>
    <w:p>
      <w:pPr>
        <w:pStyle w:val="BodyText"/>
      </w:pPr>
      <w:r>
        <w:rPr>
          <w:b/>
          <w:bCs/>
        </w:rPr>
        <w:t xml:space="preserve">Graph attribution (paired date-clustered DM, graph residual versus no-graph residual).</w:t>
      </w:r>
      <w:r>
        <w:t xml:space="preserve"> </w:t>
      </w:r>
      <w:r>
        <w:t xml:space="preserve">A graph</w:t>
      </w:r>
      <w:r>
        <w:t xml:space="preserve"> </w:t>
      </w:r>
      <w:r>
        <w:t xml:space="preserve">contribution requires the graph/GAT residual (E6) or the combined residual (E7) to beat the same-capacity</w:t>
      </w:r>
      <w:r>
        <w:t xml:space="preserve"> </w:t>
      </w:r>
      <w:r>
        <w:t xml:space="preserve">no-graph residual (E5), not merely HAR. The paired date-clustered p-values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E6 vs E5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E7 vs 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 (favors no-graph)*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 (favors no-graph)*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 (favors combined)</w:t>
            </w:r>
          </w:p>
        </w:tc>
      </w:tr>
    </w:tbl>
    <w:p>
      <w:pPr>
        <w:pStyle w:val="BodyText"/>
      </w:pPr>
      <w:r>
        <w:t xml:space="preserve">On the Vietnamese panels none of the paired contrasts approaches significance (all p ≥ 0.41): the sign is</w:t>
      </w:r>
      <w:r>
        <w:t xml:space="preserve"> </w:t>
      </w:r>
      <w:r>
        <w:t xml:space="preserve">mixed — the paired test favors the no-graph residual in most VN30 cells and nominally favors the graph</w:t>
      </w:r>
      <w:r>
        <w:t xml:space="preserve"> </w:t>
      </w:r>
      <w:r>
        <w:t xml:space="preserve">residual on VN100 — but in no case is the difference distinguishable from noise. On the large S&amp;P 500 panel</w:t>
      </w:r>
      <w:r>
        <w:t xml:space="preserve"> </w:t>
      </w:r>
      <w:r>
        <w:t xml:space="preserve">the paired test is decisive in the opposite direction to a graph benefit: the no-graph residual is favored</w:t>
      </w:r>
      <w:r>
        <w:t xml:space="preserve"> </w:t>
      </w:r>
      <w:r>
        <w:t xml:space="preserve">at every horizon, significantly at h1 (p = 0.0003) and h10 (p = 0.015). In no panel and at no horizon does</w:t>
      </w:r>
      <w:r>
        <w:t xml:space="preserve"> </w:t>
      </w:r>
      <w:r>
        <w:t xml:space="preserve">the graph residual significantly beat the same-capacity no-graph residual. The graph therefore adds no</w:t>
      </w:r>
      <w:r>
        <w:t xml:space="preserve"> </w:t>
      </w:r>
      <w:r>
        <w:t xml:space="preserve">incremental value beyond the no-graph model, consistent with the leave-one-out graph ablation of</w:t>
      </w:r>
      <w:r>
        <w:t xml:space="preserve"> </w:t>
      </w:r>
      <w:r>
        <w:t xml:space="preserve">Section 6.2.</w:t>
      </w:r>
    </w:p>
    <w:bookmarkEnd w:id="28"/>
    <w:bookmarkStart w:id="29" w:name="X66f22891ea438f24dd2a7a3f7275fd88e8bd8a8"/>
    <w:p>
      <w:pPr>
        <w:pStyle w:val="Heading3"/>
      </w:pPr>
      <w:r>
        <w:t xml:space="preserve">6.7 Model-free graph screening — does any cross-stock signal exist out of sample?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reports/model_free_graph_screening.md</w:t>
      </w:r>
      <w:r>
        <w:rPr>
          <w:i/>
          <w:iCs/>
        </w:rPr>
        <w:t xml:space="preserve"> </w:t>
      </w:r>
      <w:r>
        <w:rPr>
          <w:i/>
          <w:iCs/>
        </w:rPr>
        <w:t xml:space="preserve">(raw JSON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results/graph_screen/&lt;panel&gt;.json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docs/reports/2026-08-22_graph_no_value_analysis.md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Because the graph ablation and attribution above compare specific neural architectures, a natural objection</w:t>
      </w:r>
      <w:r>
        <w:t xml:space="preserve"> </w:t>
      </w:r>
      <w:r>
        <w:t xml:space="preserve">is that a better-tuned graph model might still extract cross-stock signal. We rule this out model-free. For</w:t>
      </w:r>
      <w:r>
        <w:t xml:space="preserve"> </w:t>
      </w:r>
      <w:r>
        <w:t xml:space="preserve">each panel we append a neighbour-derived signal to the three HAR features in an ordinary-least-squares fit on</w:t>
      </w:r>
      <w:r>
        <w:t xml:space="preserve"> </w:t>
      </w:r>
      <w:r>
        <w:t xml:space="preserve">training rows only and measure the incremental test R² over the HAR-only fit; this upper-bounds what any</w:t>
      </w:r>
      <w:r>
        <w:t xml:space="preserve"> </w:t>
      </w:r>
      <w:r>
        <w:t xml:space="preserve">model consuming those edges could extract linearly and is leakage-safe (edges and the residual fit are</w:t>
      </w:r>
      <w:r>
        <w:t xml:space="preserve"> </w:t>
      </w:r>
      <w:r>
        <w:t xml:space="preserve">train-only). Six neighbour signals are screened — the equal-weight, signed-weighted and separate</w:t>
      </w:r>
      <w:r>
        <w:t xml:space="preserve"> </w:t>
      </w:r>
      <w:r>
        <w:t xml:space="preserve">positive/negative sums of neighbours’ Parkinson variance; the signed-weighted neighbour HAR residual</w:t>
      </w:r>
      <w:r>
        <w:t xml:space="preserve"> </w:t>
      </w:r>
      <w:r>
        <w:t xml:space="preserve">(innovation); a train-selected directed lead-lag innovation; and a row-shuffled-edge placebo.</w:t>
      </w:r>
    </w:p>
    <w:p>
      <w:pPr>
        <w:pStyle w:val="BodyText"/>
      </w:pPr>
      <w:r>
        <w:t xml:space="preserve">The result is a null across VN30, VN100 and the S&amp;P 500 subset at every horizon: all incremental test R²</w:t>
      </w:r>
      <w:r>
        <w:t xml:space="preserve"> </w:t>
      </w:r>
      <w:r>
        <w:t xml:space="preserve">values are at most about 1%, and most are near zero or negative. The theoretically decisive screens — the</w:t>
      </w:r>
      <w:r>
        <w:t xml:space="preserve"> </w:t>
      </w:r>
      <w:r>
        <w:t xml:space="preserve">innovation and the directed lead-lag signals, which test predictive spillover beyond HAR’s own persistence —</w:t>
      </w:r>
      <w:r>
        <w:t xml:space="preserve"> </w:t>
      </w:r>
      <w:r>
        <w:t xml:space="preserve">are approximately zero at every horizon on every panel. The only recurring small positives are the</w:t>
      </w:r>
      <w:r>
        <w:t xml:space="preserve"> </w:t>
      </w:r>
      <w:r>
        <w:t xml:space="preserve">contemporaneous neighbour-level signals (about +1.0% on VN100 at h5, about +1.1% on the S&amp;P 500 at h1), and</w:t>
      </w:r>
      <w:r>
        <w:t xml:space="preserve"> </w:t>
      </w:r>
      <w:r>
        <w:t xml:space="preserve">these sit close to the shuffled-edge placebo (+0.2% and +0.4% respectively), so the structural graph adds</w:t>
      </w:r>
      <w:r>
        <w:t xml:space="preserve"> </w:t>
      </w:r>
      <w:r>
        <w:t xml:space="preserve">little beyond a random-edge control.</w:t>
      </w:r>
    </w:p>
    <w:p>
      <w:pPr>
        <w:pStyle w:val="BodyText"/>
      </w:pPr>
      <w:r>
        <w:t xml:space="preserve">A single leakage-safe linear regression of the target on HAR plus the mean Parkinson variance of a node’s</w:t>
      </w:r>
      <w:r>
        <w:t xml:space="preserve"> </w:t>
      </w:r>
      <w:r>
        <w:t xml:space="preserve">Top-5 graphical-lasso neighbours at day t — which bypasses the GAT, attention and residual head entirely —</w:t>
      </w:r>
      <w:r>
        <w:t xml:space="preserve"> </w:t>
      </w:r>
      <w:r>
        <w:t xml:space="preserve">yields incremental out-of-sample R² of essentially zero everywhere (VN30: −0.0001, +0.0013, −0.0014, −0.0004</w:t>
      </w:r>
      <w:r>
        <w:t xml:space="preserve"> </w:t>
      </w:r>
      <w:r>
        <w:t xml:space="preserve">at h1/h5/h10/h22; VN100: −0.0007, +0.0091, −0.0010, +0.0007). If exploitable cross-sectional spillover</w:t>
      </w:r>
      <w:r>
        <w:t xml:space="preserve"> </w:t>
      </w:r>
      <w:r>
        <w:t xml:space="preserve">existed out of sample, this simplest possible test would find it.</w:t>
      </w:r>
    </w:p>
    <w:p>
      <w:pPr>
        <w:pStyle w:val="BodyText"/>
      </w:pPr>
      <w:r>
        <w:t xml:space="preserve">Diagnostics confirm the null is genuine rather than an implementation artifact. The graphical-lasso edge set</w:t>
      </w:r>
      <w:r>
        <w:t xml:space="preserve"> </w:t>
      </w:r>
      <w:r>
        <w:t xml:space="preserve">barely survives out of sample (train↔test Top-5 neighbour-set Jaccard 0.09–0.17, no node retaining half its</w:t>
      </w:r>
      <w:r>
        <w:t xml:space="preserve"> </w:t>
      </w:r>
      <w:r>
        <w:t xml:space="preserve">neighbours), the GAT branch is demonstrably alive (it emits a correction about 15% of HAR magnitude at</w:t>
      </w:r>
      <w:r>
        <w:t xml:space="preserve"> </w:t>
      </w:r>
      <w:r>
        <w:t xml:space="preserve">VN100 h22) yet still does not beat HAR, its attention collapses to a near-uniform neighbour average</w:t>
      </w:r>
      <w:r>
        <w:t xml:space="preserve"> </w:t>
      </w:r>
      <w:r>
        <w:t xml:space="preserve">(normalized entropy about 0.996), and the graph residual does not overfit (its train-versus-test residual R²</w:t>
      </w:r>
      <w:r>
        <w:t xml:space="preserve"> </w:t>
      </w:r>
      <w:r>
        <w:t xml:space="preserve">gap is zero or negative). The cross-sectional graph adds no value because the exploitable signal is not</w:t>
      </w:r>
      <w:r>
        <w:t xml:space="preserve"> </w:t>
      </w:r>
      <w:r>
        <w:t xml:space="preserve">present out of sample, not because of a bug.</w:t>
      </w:r>
    </w:p>
    <w:p>
      <w:pPr>
        <w:pStyle w:val="BodyText"/>
      </w:pPr>
      <w:r>
        <w:rPr>
          <w:b/>
          <w:bCs/>
        </w:rPr>
        <w:t xml:space="preserve">Findings.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 is not significantly beaten on VN30 or VN100 at any horizon under date-clustered inference.</w:t>
      </w:r>
      <w:r>
        <w:t xml:space="preserve"> </w:t>
      </w:r>
      <w:r>
        <w:t xml:space="preserve">The</w:t>
      </w:r>
      <w:r>
        <w:t xml:space="preserve"> </w:t>
      </w:r>
      <w:r>
        <w:t xml:space="preserve">frozen-expert convex combination is the closest competitor: its date-clustered p-value versus HAR ranges</w:t>
      </w:r>
      <w:r>
        <w:t xml:space="preserve"> </w:t>
      </w:r>
      <w:r>
        <w:t xml:space="preserve">over 0.14–0.51 on VN30 and 0.08–0.29 on VN100, never below 0.05. The residual and gated variants have</w:t>
      </w:r>
      <w:r>
        <w:t xml:space="preserve"> </w:t>
      </w:r>
      <w:r>
        <w:t xml:space="preserve">larger p-values still (the graph residual versus HAR ranges over 0.56–0.93 on VN30 and 0.46–0.63 on</w:t>
      </w:r>
      <w:r>
        <w:t xml:space="preserve"> </w:t>
      </w:r>
      <w:r>
        <w:t xml:space="preserve">VN100). Point-estimate QLIKE gaps favor the hybrids at the longer horizons — for example the convex</w:t>
      </w:r>
      <w:r>
        <w:t xml:space="preserve"> </w:t>
      </w:r>
      <w:r>
        <w:t xml:space="preserve">combination reaches +5.85% QLIKE at VN100 h22 (QLIKE 0.5816 versus HAR 0.6177) and the graph residual</w:t>
      </w:r>
      <w:r>
        <w:t xml:space="preserve"> </w:t>
      </w:r>
      <w:r>
        <w:t xml:space="preserve">+4.08% (0.5925) — but these gaps are within noise given the short common-date test windows (on the order</w:t>
      </w:r>
      <w:r>
        <w:t xml:space="preserve"> </w:t>
      </w:r>
      <w:r>
        <w:t xml:space="preserve">of 130 dates on VN30 and 50 on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the large S&amp;P 500 panel the deep temporal LSTM significantly beats HAR at every horizon.</w:t>
      </w:r>
      <w:r>
        <w:t xml:space="preserve"> </w:t>
      </w:r>
      <w:r>
        <w:t xml:space="preserve">The</w:t>
      </w:r>
      <w:r>
        <w:t xml:space="preserve"> </w:t>
      </w:r>
      <w:r>
        <w:t xml:space="preserve">full-target LSTM (E1) improves QLIKE over HAR by +3.01% at h1, +4.09% at h5, +4.18% at h10 and +7.10% at</w:t>
      </w:r>
      <w:r>
        <w:t xml:space="preserve"> </w:t>
      </w:r>
      <w:r>
        <w:t xml:space="preserve">h22 (p&lt;0.001 at h1/h5/h22, p = 0.001 at h10), and the convex combination (E3) beats HAR at every horizon</w:t>
      </w:r>
      <w:r>
        <w:t xml:space="preserve"> </w:t>
      </w:r>
      <w:r>
        <w:t xml:space="preserve">by +3.16% to +5.39% (p&lt;0.001). This is the paper’s positive beat-HAR result and it holds under the same</w:t>
      </w:r>
      <w:r>
        <w:t xml:space="preserve"> </w:t>
      </w:r>
      <w:r>
        <w:t xml:space="preserve">panel-correct date-clustered inference under which the Vietnamese panels show no significant win, so the</w:t>
      </w:r>
      <w:r>
        <w:t xml:space="preserve"> </w:t>
      </w:r>
      <w:r>
        <w:t xml:space="preserve">difference is one of data scale, not of inference convention.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Full-target deep models underperform HAR at short horizons on the small panels.</w:t>
      </w:r>
      <w:r>
        <w:t xml:space="preserve"> </w:t>
      </w:r>
      <w:r>
        <w:t xml:space="preserve">The full-target LSTM</w:t>
      </w:r>
      <w:r>
        <w:t xml:space="preserve"> </w:t>
      </w:r>
      <w:r>
        <w:t xml:space="preserve">and LSTM+GAT lose to HAR at h1 on both Vietnamese panels (VN30 p&lt;0.001; VN100 p=0.023 and p=0.035),</w:t>
      </w:r>
      <w:r>
        <w:t xml:space="preserve"> </w:t>
      </w:r>
      <w:r>
        <w:t xml:space="preserve">consistent with the snapshot-design result of Section 6.2, whereas the HAR-anchored variants (convex</w:t>
      </w:r>
      <w:r>
        <w:t xml:space="preserve"> </w:t>
      </w:r>
      <w:r>
        <w:t xml:space="preserve">combination, residuals, gates) track HAR closely and remove that short-horizon penalty.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graph adds no incremental value on any panel.</w:t>
      </w:r>
      <w:r>
        <w:t xml:space="preserve"> </w:t>
      </w:r>
      <w:r>
        <w:t xml:space="preserve">No graph residual (E6) or combined residual (E7)</w:t>
      </w:r>
      <w:r>
        <w:t xml:space="preserve"> </w:t>
      </w:r>
      <w:r>
        <w:t xml:space="preserve">beats the same-capacity no-graph residual (E5) at any horizon on any panel; on the S&amp;P 500 the no-graph</w:t>
      </w:r>
      <w:r>
        <w:t xml:space="preserve"> </w:t>
      </w:r>
      <w:r>
        <w:t xml:space="preserve">residual is significantly favored at h1 and h10 (Graph-attribution table above), and the model-free</w:t>
      </w:r>
      <w:r>
        <w:t xml:space="preserve"> </w:t>
      </w:r>
      <w:r>
        <w:t xml:space="preserve">screening of Section 6.7 shows the incremental out-of-sample R² of any neighbour signal is at most about</w:t>
      </w:r>
      <w:r>
        <w:t xml:space="preserve"> </w:t>
      </w:r>
      <w:r>
        <w:t xml:space="preserve">1% and approximately zero for the theoretically decisive innovation and lead-lag screens.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additive/graph residual rungs are numerically fragile on a large cross-section.</w:t>
      </w:r>
      <w:r>
        <w:t xml:space="preserve"> </w:t>
      </w:r>
      <w:r>
        <w:t xml:space="preserve">On the S&amp;P 500</w:t>
      </w:r>
      <w:r>
        <w:t xml:space="preserve"> </w:t>
      </w:r>
      <w:r>
        <w:t xml:space="preserve">subset (457 nodes) the additive and graph residuals can drive predictions toward the QLIKE positivity</w:t>
      </w:r>
      <w:r>
        <w:t xml:space="preserve"> </w:t>
      </w:r>
      <w:r>
        <w:t xml:space="preserve">floor and inflate QLIKE far above HAR (for example E5 QLIKE 2.9978 at h22 and E7 QLIKE 5.7090 at h10,</w:t>
      </w:r>
      <w:r>
        <w:t xml:space="preserve"> </w:t>
      </w:r>
      <w:r>
        <w:t xml:space="preserve">versus HAR 0.4596 and 0.4303), so on the large panel the clean, well-behaved beat-HAR models are the</w:t>
      </w:r>
      <w:r>
        <w:t xml:space="preserve"> </w:t>
      </w:r>
      <w:r>
        <w:t xml:space="preserve">full-target LSTM (E1) and the convex combination (E3); the fragile residual rungs are reported for</w:t>
      </w:r>
      <w:r>
        <w:t xml:space="preserve"> </w:t>
      </w:r>
      <w:r>
        <w:t xml:space="preserve">completeness and are not the basis of the S&amp;P 500 beat-HAR claim.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Per-metric fairness.</w:t>
      </w:r>
      <w:r>
        <w:t xml:space="preserve"> </w:t>
      </w:r>
      <w:r>
        <w:t xml:space="preserve">The model ranking is metric- and panel-dependent, which is why all five metrics</w:t>
      </w:r>
      <w:r>
        <w:t xml:space="preserve"> </w:t>
      </w:r>
      <w:r>
        <w:t xml:space="preserve">are reported. On the S&amp;P 500 the deep temporal LSTM leads on QLIKE, RMSE and MAE together. On the small</w:t>
      </w:r>
      <w:r>
        <w:t xml:space="preserve"> </w:t>
      </w:r>
      <w:r>
        <w:t xml:space="preserve">Vietnamese panels HAR retains the best QLIKE and squared error, while the multiplicative HAR-anchored</w:t>
      </w:r>
      <w:r>
        <w:t xml:space="preserve"> </w:t>
      </w:r>
      <w:r>
        <w:t xml:space="preserve">residual (E8) attains the lowest MAE at several cells (for example VN100 h1 MAE 0.00027 versus HAR</w:t>
      </w:r>
      <w:r>
        <w:t xml:space="preserve"> </w:t>
      </w:r>
      <w:r>
        <w:t xml:space="preserve">0.00028) — no single metric determines the ranking.</w:t>
      </w:r>
    </w:p>
    <w:p>
      <w:pPr>
        <w:pStyle w:val="FirstParagraph"/>
      </w:pPr>
      <w:r>
        <w:rPr>
          <w:b/>
          <w:bCs/>
        </w:rPr>
        <w:t xml:space="preserve">Methodological note (panel-correct inference).</w:t>
      </w:r>
      <w:r>
        <w:t xml:space="preserve"> </w:t>
      </w:r>
      <w:r>
        <w:t xml:space="preserve">For a cross-sectionally dependent volatility panel, the</w:t>
      </w:r>
      <w:r>
        <w:t xml:space="preserve"> </w:t>
      </w:r>
      <w:r>
        <w:t xml:space="preserve">statistical significance of a forecast-accuracy difference must be assessed with date-clustered (or</w:t>
      </w:r>
      <w:r>
        <w:t xml:space="preserve"> </w:t>
      </w:r>
      <w:r>
        <w:t xml:space="preserve">otherwise panel-robust) inference — one loss differential per calendar date — rather than a naive</w:t>
      </w:r>
      <w:r>
        <w:t xml:space="preserve"> </w:t>
      </w:r>
      <w:r>
        <w:t xml:space="preserve">per-observation Diebold–Mariano test over every (ticker, date) row. All tickers share each trading date, so</w:t>
      </w:r>
      <w:r>
        <w:t xml:space="preserve"> </w:t>
      </w:r>
      <w:r>
        <w:t xml:space="preserve">the per-observation test treats the effective sample as the number of tickers times the number of dates and</w:t>
      </w:r>
      <w:r>
        <w:t xml:space="preserve"> </w:t>
      </w:r>
      <w:r>
        <w:t xml:space="preserve">understates the loss-differential variance; the Diebold–Mariano statistic is inflated by a factor on the</w:t>
      </w:r>
      <w:r>
        <w:t xml:space="preserve"> </w:t>
      </w:r>
      <w:r>
        <w:t xml:space="preserve">order of the square root of the cross-section size (roughly a factor of six on VN30 and ten on VN100). A</w:t>
      </w:r>
      <w:r>
        <w:t xml:space="preserve"> </w:t>
      </w:r>
      <w:r>
        <w:t xml:space="preserve">QLIKE gap that is a coin-flip once collapsed to one value per date can be reported as highly significant at</w:t>
      </w:r>
      <w:r>
        <w:t xml:space="preserve"> </w:t>
      </w:r>
      <w:r>
        <w:t xml:space="preserve">the row level. Aggregating to the date level before inference removes this artifact and is the significance</w:t>
      </w:r>
      <w:r>
        <w:t xml:space="preserve"> </w:t>
      </w:r>
      <w:r>
        <w:t xml:space="preserve">convention used throughout this study.</w:t>
      </w:r>
    </w:p>
    <w:p>
      <w:pPr>
        <w:pStyle w:val="BodyText"/>
      </w:pPr>
      <w:r>
        <w:rPr>
          <w:b/>
          <w:bCs/>
        </w:rPr>
        <w:t xml:space="preserve">Relation to the per-observation tables of Section 6.1.</w:t>
      </w:r>
      <w:r>
        <w:t xml:space="preserve"> </w:t>
      </w:r>
      <w:r>
        <w:t xml:space="preserve">The per-observation Diebold–Mariano statistics in</w:t>
      </w:r>
      <w:r>
        <w:t xml:space="preserve"> </w:t>
      </w:r>
      <w:r>
        <w:t xml:space="preserve">Section 6.1 flag short-horizon LSTM-versus-HAR gaps on the Vietnamese panels as significant. Those</w:t>
      </w:r>
      <w:r>
        <w:t xml:space="preserve"> </w:t>
      </w:r>
      <w:r>
        <w:t xml:space="preserve">statistics use per-observation loss differentials and therefore overstate significance on this</w:t>
      </w:r>
      <w:r>
        <w:t xml:space="preserve"> </w:t>
      </w:r>
      <w:r>
        <w:t xml:space="preserve">cross-sectionally dependent panel, as quantified in the methodological note above; under the date-clustered</w:t>
      </w:r>
      <w:r>
        <w:t xml:space="preserve"> </w:t>
      </w:r>
      <w:r>
        <w:t xml:space="preserve">inference used throughout this paper, the Vietnamese gaps of that magnitude are not statistically</w:t>
      </w:r>
      <w:r>
        <w:t xml:space="preserve"> </w:t>
      </w:r>
      <w:r>
        <w:t xml:space="preserve">significant. The Section 6.1 point estimates are unchanged and reported as measured — only their</w:t>
      </w:r>
      <w:r>
        <w:t xml:space="preserve"> </w:t>
      </w:r>
      <w:r>
        <w:t xml:space="preserve">per-observation significance is superseded by the date-clustered verdict here, symmetrically for the cells</w:t>
      </w:r>
      <w:r>
        <w:t xml:space="preserve"> </w:t>
      </w:r>
      <w:r>
        <w:t xml:space="preserve">where HAR nominally beats the deep model. The one beat-HAR result that survives date-clustered inference is</w:t>
      </w:r>
      <w:r>
        <w:t xml:space="preserve"> </w:t>
      </w:r>
      <w:r>
        <w:t xml:space="preserve">on the large S&amp;P 500 panel (this section), not on the Vietnamese panels.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HAR is hard to beat on small panels; data scale is what unlocks a deep advantage.</w:t>
      </w:r>
      <w:r>
        <w:t xml:space="preserve"> </w:t>
      </w:r>
      <w:r>
        <w:t xml:space="preserve">Under panel-correct</w:t>
      </w:r>
      <w:r>
        <w:t xml:space="preserve"> </w:t>
      </w:r>
      <w:r>
        <w:t xml:space="preserve">date-clustered inference, no model — LSTM, LSTM+GAT, convex combination or HAR-anchored residual —</w:t>
      </w:r>
      <w:r>
        <w:t xml:space="preserve"> </w:t>
      </w:r>
      <w:r>
        <w:t xml:space="preserve">significantly beats HAR on VN30 or VN100 at any horizon. The same architectures, evaluated identically,</w:t>
      </w:r>
      <w:r>
        <w:t xml:space="preserve"> </w:t>
      </w:r>
      <w:r>
        <w:t xml:space="preserve">significantly beat HAR at every horizon on the large S&amp;P 500 subset, where the deep temporal LSTM improves</w:t>
      </w:r>
      <w:r>
        <w:t xml:space="preserve"> </w:t>
      </w:r>
      <w:r>
        <w:t xml:space="preserve">QLIKE by up to +7.1% at h22 (p&lt;0.001) and the convex combination improves it at every horizon. Because the</w:t>
      </w:r>
      <w:r>
        <w:t xml:space="preserve"> </w:t>
      </w:r>
      <w:r>
        <w:t xml:space="preserve">inference convention is held fixed across panels, the difference is attributable to the amount of data, not</w:t>
      </w:r>
      <w:r>
        <w:t xml:space="preserve"> </w:t>
      </w:r>
      <w:r>
        <w:t xml:space="preserve">to the test: a flexible model needs a large, data-rich cross-section to out-of-sample beat a parsimonious,</w:t>
      </w:r>
      <w:r>
        <w:t xml:space="preserve"> </w:t>
      </w:r>
      <w:r>
        <w:t xml:space="preserve">well-specified baseline, and HAR’s edge on the small Vietnamese panels is a small-sample phenomenon rather</w:t>
      </w:r>
      <w:r>
        <w:t xml:space="preserve"> </w:t>
      </w:r>
      <w:r>
        <w:t xml:space="preserve">than a fundamental ceiling on deep models.</w:t>
      </w:r>
    </w:p>
    <w:p>
      <w:pPr>
        <w:pStyle w:val="BodyText"/>
      </w:pPr>
      <w:r>
        <w:rPr>
          <w:b/>
          <w:bCs/>
        </w:rPr>
        <w:t xml:space="preserve">The graph adds no out-of-sample value, and this is a genuine null.</w:t>
      </w:r>
      <w:r>
        <w:t xml:space="preserve"> </w:t>
      </w:r>
      <w:r>
        <w:t xml:space="preserve">No graph-carrying model beats its</w:t>
      </w:r>
      <w:r>
        <w:t xml:space="preserve"> </w:t>
      </w:r>
      <w:r>
        <w:t xml:space="preserve">same-capacity no-graph counterpart on any panel or horizon (the leave-one-out ablation of Section 6.2, the</w:t>
      </w:r>
      <w:r>
        <w:t xml:space="preserve"> </w:t>
      </w:r>
      <w:r>
        <w:t xml:space="preserve">paired residual attribution of Section 6.6, and the S&amp;P 500 case where the no-graph residual is</w:t>
      </w:r>
      <w:r>
        <w:t xml:space="preserve"> </w:t>
      </w:r>
      <w:r>
        <w:t xml:space="preserve">significantly favored). The model-free screening of Section 6.7 shows why: a leakage-safe linear</w:t>
      </w:r>
      <w:r>
        <w:t xml:space="preserve"> </w:t>
      </w:r>
      <w:r>
        <w:t xml:space="preserve">neighbour-signal regressor adds essentially zero incremental out-of-sample R², the innovation and lead-lag</w:t>
      </w:r>
      <w:r>
        <w:t xml:space="preserve"> </w:t>
      </w:r>
      <w:r>
        <w:t xml:space="preserve">screens are approximately zero everywhere, and diagnostics rule out a bug or overfitting (the</w:t>
      </w:r>
      <w:r>
        <w:t xml:space="preserve"> </w:t>
      </w:r>
      <w:r>
        <w:t xml:space="preserve">graphical-lasso edge set does not persist from train to test, the attention collapses to a uniform neighbour</w:t>
      </w:r>
      <w:r>
        <w:t xml:space="preserve"> </w:t>
      </w:r>
      <w:r>
        <w:t xml:space="preserve">average, and the graph residual shows no train-versus-test overfitting gap). The cross-sectional dependence</w:t>
      </w:r>
      <w:r>
        <w:t xml:space="preserve"> </w:t>
      </w:r>
      <w:r>
        <w:t xml:space="preserve">the graph encodes is dominated by a common market factor already captured by each ticker’s own HAR</w:t>
      </w:r>
      <w:r>
        <w:t xml:space="preserve"> </w:t>
      </w:r>
      <w:r>
        <w:t xml:space="preserve">persistence and does not transfer out of sample. This is a clean negative result for a popular architectural</w:t>
      </w:r>
      <w:r>
        <w:t xml:space="preserve"> </w:t>
      </w:r>
      <w:r>
        <w:t xml:space="preserve">idea.</w:t>
      </w:r>
    </w:p>
    <w:p>
      <w:pPr>
        <w:pStyle w:val="BodyText"/>
      </w:pPr>
      <w:r>
        <w:rPr>
          <w:b/>
          <w:bCs/>
        </w:rPr>
        <w:t xml:space="preserve">Data design and inference convention both shape the apparent verdict.</w:t>
      </w:r>
      <w:r>
        <w:t xml:space="preserve"> </w:t>
      </w:r>
      <w:r>
        <w:t xml:space="preserve">Two secondary methodological</w:t>
      </w:r>
      <w:r>
        <w:t xml:space="preserve"> </w:t>
      </w:r>
      <w:r>
        <w:t xml:space="preserve">observations support the honest reading above. First, the deep-versus-HAR point estimates depend on the data</w:t>
      </w:r>
      <w:r>
        <w:t xml:space="preserve"> </w:t>
      </w:r>
      <w:r>
        <w:t xml:space="preserve">design: the same LSTM’s point estimates favor it under the richer per-observation per-stock design</w:t>
      </w:r>
      <w:r>
        <w:t xml:space="preserve"> </w:t>
      </w:r>
      <w:r>
        <w:t xml:space="preserve">(Section 6.1) but not under the common-date snapshot with a global split (Section 6.2), because the</w:t>
      </w:r>
      <w:r>
        <w:t xml:space="preserve"> </w:t>
      </w:r>
      <w:r>
        <w:t xml:space="preserve">intersection discards most ticker-days and places the whole test set in one recent regime. Second, and more</w:t>
      </w:r>
      <w:r>
        <w:t xml:space="preserve"> </w:t>
      </w:r>
      <w:r>
        <w:t xml:space="preserve">importantly, the significance verdict depends on the inference convention: the naive per-observation</w:t>
      </w:r>
      <w:r>
        <w:t xml:space="preserve"> </w:t>
      </w:r>
      <w:r>
        <w:t xml:space="preserve">Diebold–Mariano test inflates the statistic by a factor on the order of the square root of the cross-section</w:t>
      </w:r>
      <w:r>
        <w:t xml:space="preserve"> </w:t>
      </w:r>
      <w:r>
        <w:t xml:space="preserve">size, which can turn a coin-flip QLIKE gap into an apparently significant one. Both observations caution</w:t>
      </w:r>
      <w:r>
        <w:t xml:space="preserve"> </w:t>
      </w:r>
      <w:r>
        <w:t xml:space="preserve">against reading a beat-HAR claim from a favourable data design plus a naive test; the panel-correct verdict</w:t>
      </w:r>
      <w:r>
        <w:t xml:space="preserve"> </w:t>
      </w:r>
      <w:r>
        <w:t xml:space="preserve">is the one reported here.</w:t>
      </w:r>
    </w:p>
    <w:p>
      <w:pPr>
        <w:pStyle w:val="BodyText"/>
      </w:pPr>
      <w:r>
        <w:rPr>
          <w:b/>
          <w:bCs/>
        </w:rPr>
        <w:t xml:space="preserve">Loss choice and model selection.</w:t>
      </w:r>
      <w:r>
        <w:t xml:space="preserve"> </w:t>
      </w:r>
      <w:r>
        <w:t xml:space="preserve">Training and early stopping use MSE while the decision metric is QLIKE.</w:t>
      </w:r>
      <w:r>
        <w:t xml:space="preserve"> </w:t>
      </w:r>
      <w:r>
        <w:t xml:space="preserve">These can disagree — QLIKE upweights low-volatility days — so we report all five metrics rather than the one</w:t>
      </w:r>
      <w:r>
        <w:t xml:space="preserve"> </w:t>
      </w:r>
      <w:r>
        <w:t xml:space="preserve">that flatters a given model; on the S&amp;P 500 the deep temporal model happens to lead on QLIKE, RMSE and MAE</w:t>
      </w:r>
      <w:r>
        <w:t xml:space="preserve"> </w:t>
      </w:r>
      <w:r>
        <w:t xml:space="preserve">simultaneously, while on the Vietnamese panels the metric that is best differs by model (HAR on QLIKE and</w:t>
      </w:r>
      <w:r>
        <w:t xml:space="preserve"> </w:t>
      </w:r>
      <w:r>
        <w:t xml:space="preserve">squared error, the multiplicative HAR-anchored residual on MAE).</w:t>
      </w:r>
    </w:p>
    <w:p>
      <w:r>
        <w:pict>
          <v:rect style="width:0;height:1.5pt" o:hralign="center" o:hrstd="t" o:hr="t"/>
        </w:pict>
      </w:r>
    </w:p>
    <w:bookmarkEnd w:id="31"/>
    <w:bookmarkStart w:id="32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Short common-date test windows on the Vietnamese panels.</w:t>
      </w:r>
      <w:r>
        <w:t xml:space="preserve"> </w:t>
      </w:r>
      <w:r>
        <w:t xml:space="preserve">The graph-defined snapshot design retains</w:t>
      </w:r>
      <w:r>
        <w:t xml:space="preserve"> </w:t>
      </w:r>
      <w:r>
        <w:t xml:space="preserve">on the order of 130 test dates on VN30 and 50 on VN100. Under date-clustered inference these are the</w:t>
      </w:r>
      <w:r>
        <w:t xml:space="preserve"> </w:t>
      </w:r>
      <w:r>
        <w:t xml:space="preserve">effective sample sizes, so even sizeable point-estimate QLIKE gaps at long horizons (for example the</w:t>
      </w:r>
      <w:r>
        <w:t xml:space="preserve"> </w:t>
      </w:r>
      <w:r>
        <w:t xml:space="preserve">convex combination’s +5.85% at VN100 h22) are not statistically significant. A negative or non-significant</w:t>
      </w:r>
      <w:r>
        <w:t xml:space="preserve"> </w:t>
      </w:r>
      <w:r>
        <w:t xml:space="preserve">result on a small effective sample is evidence of</w:t>
      </w:r>
      <w:r>
        <w:t xml:space="preserve"> </w:t>
      </w:r>
      <w:r>
        <w:t xml:space="preserve">“not demonstrated”</w:t>
      </w:r>
      <w:r>
        <w:t xml:space="preserve">, not of</w:t>
      </w:r>
      <w:r>
        <w:t xml:space="preserve"> </w:t>
      </w:r>
      <w:r>
        <w:t xml:space="preserve">“no effect at any sample</w:t>
      </w:r>
      <w:r>
        <w:t xml:space="preserve"> </w:t>
      </w:r>
      <w:r>
        <w:t xml:space="preserve">size”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is by validation QLIKE for the HAR-anchored study and by validation MSE for the</w:t>
      </w:r>
      <w:r>
        <w:rPr>
          <w:b/>
          <w:bCs/>
        </w:rPr>
        <w:t xml:space="preserve"> </w:t>
      </w:r>
      <w:r>
        <w:rPr>
          <w:b/>
          <w:bCs/>
        </w:rPr>
        <w:t xml:space="preserve">main-study point-estimate tables.</w:t>
      </w:r>
      <w:r>
        <w:t xml:space="preserve"> </w:t>
      </w:r>
      <w:r>
        <w:t xml:space="preserve">The two protocols can disagree because QLIKE upweights low-volatility</w:t>
      </w:r>
      <w:r>
        <w:t xml:space="preserve"> </w:t>
      </w:r>
      <w:r>
        <w:t xml:space="preserve">days; we report all five metrics rather than the one that flatters a given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graph is only evaluable on the common-date snapshot design</w:t>
      </w:r>
      <w:r>
        <w:t xml:space="preserve">, which is data-poorer and</w:t>
      </w:r>
      <w:r>
        <w:t xml:space="preserve"> </w:t>
      </w:r>
      <w:r>
        <w:t xml:space="preserve">regime-shifted relative to the per-observation design; this weakens all snapshot deep models in absolute</w:t>
      </w:r>
      <w:r>
        <w:t xml:space="preserve"> </w:t>
      </w:r>
      <w:r>
        <w:t xml:space="preserve">terms. The negative graph result is nonetheless valid because it rests on within-design comparisons</w:t>
      </w:r>
      <w:r>
        <w:t xml:space="preserve"> </w:t>
      </w:r>
      <w:r>
        <w:t xml:space="preserve">(leave-one-out LSTM+GAT versus LSTM (w/o GAT), and the paired residual attribution E6/E7 versus E5) plus</w:t>
      </w:r>
      <w:r>
        <w:t xml:space="preserve"> </w:t>
      </w:r>
      <w:r>
        <w:t xml:space="preserve">the design-independent model-free screening of Section 6.7. The graph consumed here is the binary support</w:t>
      </w:r>
      <w:r>
        <w:t xml:space="preserve"> </w:t>
      </w:r>
      <w:r>
        <w:t xml:space="preserve">of the graphical-lasso graph; the model-free screening additionally tests signed, weighted, innovation and</w:t>
      </w:r>
      <w:r>
        <w:t xml:space="preserve"> </w:t>
      </w:r>
      <w:r>
        <w:t xml:space="preserve">directed lead-lag neighbour signals and finds them null, but volume-shock and sector graphs were not</w:t>
      </w:r>
      <w:r>
        <w:t xml:space="preserve"> </w:t>
      </w:r>
      <w:r>
        <w:t xml:space="preserve">tested and remain follow-up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 scaling.</w:t>
      </w:r>
      <w:r>
        <w:t xml:space="preserve"> </w:t>
      </w:r>
      <w:r>
        <w:t xml:space="preserve">The attention is quadratic in the number of nodes; at ~500 S&amp;P 500 nodes the graph model</w:t>
      </w:r>
      <w:r>
        <w:t xml:space="preserve"> </w:t>
      </w:r>
      <w:r>
        <w:t xml:space="preserve">required a small batch to fit an 8 GB GPU, a practical limitation of the graph approach.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S&amp;P 500 survivorship and subset selection.</w:t>
      </w:r>
      <w:r>
        <w:t xml:space="preserve"> </w:t>
      </w:r>
      <w:r>
        <w:t xml:space="preserve">The panel is the long-history subset of current</w:t>
      </w:r>
      <w:r>
        <w:t xml:space="preserve"> </w:t>
      </w:r>
      <w:r>
        <w:t xml:space="preserve">constituents (457 nodes, ~300 test dates), so U.S. levels are optimistic; we claim the data-scaling</w:t>
      </w:r>
      <w:r>
        <w:t xml:space="preserve"> </w:t>
      </w:r>
      <w:r>
        <w:t xml:space="preserve">direction and the beat-HAR-under-scale result on this subset, not that they hold for the full index or the</w:t>
      </w:r>
      <w:r>
        <w:t xml:space="preserve"> </w:t>
      </w:r>
      <w:r>
        <w:t xml:space="preserve">absolute QLIKE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 market for depth, single robustness market.</w:t>
      </w:r>
      <w:r>
        <w:t xml:space="preserve"> </w:t>
      </w:r>
      <w:r>
        <w:t xml:space="preserve">Vietnam is the case study and the S&amp;P 500 subset</w:t>
      </w:r>
      <w:r>
        <w:t xml:space="preserve"> </w:t>
      </w:r>
      <w:r>
        <w:t xml:space="preserve">the cross-market check; no claim of universal generality is made. A masked-panel robustness check that</w:t>
      </w:r>
      <w:r>
        <w:t xml:space="preserve"> </w:t>
      </w:r>
      <w:r>
        <w:t xml:space="preserve">relaxes the common-date intersection is ongoing and not included here.</w:t>
      </w:r>
    </w:p>
    <w:p>
      <w:pPr>
        <w:pStyle w:val="Compact"/>
        <w:numPr>
          <w:ilvl w:val="0"/>
          <w:numId w:val="1005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32"/>
    <w:bookmarkStart w:id="33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forecasting, evaluated with panel-correct date-clustered Diebold–Mariano</w:t>
      </w:r>
      <w:r>
        <w:t xml:space="preserve"> </w:t>
      </w:r>
      <w:r>
        <w:t xml:space="preserve">inference on three equity panels, HAR is very hard to beat on the small Vietnamese markets: no model — the</w:t>
      </w:r>
      <w:r>
        <w:t xml:space="preserve"> </w:t>
      </w:r>
      <w:r>
        <w:t xml:space="preserve">LSTM, the LSTM+GAT, the convex combination or the HAR-anchored residuals — significantly beats HAR on VN30</w:t>
      </w:r>
      <w:r>
        <w:t xml:space="preserve"> </w:t>
      </w:r>
      <w:r>
        <w:t xml:space="preserve">or VN100 at any horizon. On the large, data-rich S&amp;P 500 subset the same evaluation shows the deep temporal</w:t>
      </w:r>
      <w:r>
        <w:t xml:space="preserve"> </w:t>
      </w:r>
      <w:r>
        <w:t xml:space="preserve">LSTM (no graph) significantly beating HAR at every horizon, by up to +7.1% QLIKE at the twenty-two-day</w:t>
      </w:r>
      <w:r>
        <w:t xml:space="preserve"> </w:t>
      </w:r>
      <w:r>
        <w:t xml:space="preserve">horizon (p&lt;0.001), with the convex HAR–deep combination beating HAR at every horizon as well; every learned</w:t>
      </w:r>
      <w:r>
        <w:t xml:space="preserve"> </w:t>
      </w:r>
      <w:r>
        <w:t xml:space="preserve">model decisively beats GARCH. Deep-versus-HAR competitiveness therefore grows with the size of the panel.</w:t>
      </w:r>
      <w:r>
        <w:t xml:space="preserve"> </w:t>
      </w:r>
      <w:r>
        <w:t xml:space="preserve">Adding a Graph Attention Network over a graphical-lasso partial-correlation graph contributes no</w:t>
      </w:r>
      <w:r>
        <w:t xml:space="preserve"> </w:t>
      </w:r>
      <w:r>
        <w:t xml:space="preserve">out-of-sample value on any panel — a genuine null established both by leave-one-out and paired-residual</w:t>
      </w:r>
      <w:r>
        <w:t xml:space="preserve"> </w:t>
      </w:r>
      <w:r>
        <w:t xml:space="preserve">ablations and by a model-free neighbour-signal screen, with diagnostics ruling out a bug or overfitting. The</w:t>
      </w:r>
      <w:r>
        <w:t xml:space="preserve"> </w:t>
      </w:r>
      <w:r>
        <w:t xml:space="preserve">practical recommendation is a graph-free HAR or HAR-anchored deep model: HAR alone on small panels, where it</w:t>
      </w:r>
      <w:r>
        <w:t xml:space="preserve"> </w:t>
      </w:r>
      <w:r>
        <w:t xml:space="preserve">is not significantly beaten, and a deep temporal or convex-combination model on large, data-rich panels,</w:t>
      </w:r>
      <w:r>
        <w:t xml:space="preserve"> </w:t>
      </w:r>
      <w:r>
        <w:t xml:space="preserve">where it significantly improves on HAR.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6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6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6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Friedman, J., Hastie, T., &amp; Tibshirani, R. (2008). Sparse inverse covariance estimation with the</w:t>
      </w:r>
      <w:r>
        <w:t xml:space="preserve"> </w:t>
      </w:r>
      <w:r>
        <w:t xml:space="preserve">graphical lasso.</w:t>
      </w:r>
      <w:r>
        <w:t xml:space="preserve"> </w:t>
      </w:r>
      <w:r>
        <w:rPr>
          <w:i/>
          <w:iCs/>
        </w:rPr>
        <w:t xml:space="preserve">Biostatistics</w:t>
      </w:r>
      <w:r>
        <w:t xml:space="preserve">, 9(3), 432–441.</w:t>
      </w:r>
    </w:p>
    <w:p>
      <w:pPr>
        <w:pStyle w:val="Compact"/>
        <w:numPr>
          <w:ilvl w:val="0"/>
          <w:numId w:val="1006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6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6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6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6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6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6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6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3.3.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2026-08-22T03:35:24Z</dcterms:created>
  <dcterms:modified xsi:type="dcterms:W3CDTF">2026-08-22T03:35:24Z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