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ba1d549e648012001271c6119321cf99675df6b"/>
    <w:p>
      <w:pPr>
        <w:pStyle w:val="Heading1"/>
      </w:pPr>
      <w:r>
        <w:t xml:space="preserve">Multi-Horizon Stock Volatility Forecasting</w:t>
      </w:r>
    </w:p>
    <w:p>
      <w:pPr>
        <w:pStyle w:val="FirstParagraph"/>
      </w:pPr>
      <w:r>
        <w:rPr>
          <w:i/>
          <w:iCs/>
        </w:rPr>
        <w:t xml:space="preserve">SOICT submission (markdown draft; transcribed to the SOICT/Overleaf LaTeX template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docs/paper/soict_harlstmgat.tex</w:t>
      </w:r>
      <w:r>
        <w:rPr>
          <w:i/>
          <w:iCs/>
        </w:rPr>
        <w:t xml:space="preserve">). Architecture 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docs/paper/diagrams/soict_harlstmgat.svg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evaluate whether a deep sequence model or a cross-sectional graph-attention branch changes multi-horizon</w:t>
      </w:r>
      <w:r>
        <w:t xml:space="preserve"> </w:t>
      </w:r>
      <w:r>
        <w:t xml:space="preserve">daily Parkinson-variance forecasts relative to a linear Heterogeneous Autoregressive (HAR) baseline on the</w:t>
      </w:r>
      <w:r>
        <w:t xml:space="preserve"> </w:t>
      </w:r>
      <w:r>
        <w:t xml:space="preserve">Vietnamese equity market — VN30 and VN100 — under panel-correct inference. Three</w:t>
      </w:r>
      <w:r>
        <w:t xml:space="preserve"> </w:t>
      </w:r>
      <w:r>
        <w:t xml:space="preserve">models share the same five node features: a linear HAR, a</w:t>
      </w:r>
      <w:r>
        <w:t xml:space="preserve"> </w:t>
      </w:r>
      <w:r>
        <w:t xml:space="preserve">five-feature LSTM, and a five-feature LSTM+GAT (directed volume→Parkinson Top-5 weighted two-hop attention).</w:t>
      </w:r>
      <w:r>
        <w:t xml:space="preserve"> </w:t>
      </w:r>
      <w:r>
        <w:t xml:space="preserve">We report five metrics (MSE, RMSE, MAE, QLIKE, R²) with equal weight and assess significance with the</w:t>
      </w:r>
      <w:r>
        <w:t xml:space="preserve"> </w:t>
      </w:r>
      <w:r>
        <w:t xml:space="preserve">date-clustered Diebold–Mariano (DM) test; predictions are floored at 1e-2 times the per-node training mean.</w:t>
      </w:r>
      <w:r>
        <w:t xml:space="preserve"> </w:t>
      </w:r>
      <w:r>
        <w:t xml:space="preserve">The primary target is short-term (horizons h ∈ {1, 5}); h ∈ {10, 22} are an extended study. HAR has the</w:t>
      </w:r>
      <w:r>
        <w:t xml:space="preserve"> </w:t>
      </w:r>
      <w:r>
        <w:t xml:space="preserve">lowest QLIKE on both panels at every horizon, and no learned model has a significantly lower QLIKE than HAR</w:t>
      </w:r>
      <w:r>
        <w:t xml:space="preserve"> </w:t>
      </w:r>
      <w:r>
        <w:t xml:space="preserve">(date-clustered DM, p ≥ 0.05). At h1 and h5 the deep models have the lowest MAE on VN100 (LSTM versus HAR,</w:t>
      </w:r>
      <w:r>
        <w:t xml:space="preserve"> </w:t>
      </w:r>
      <w:r>
        <w:t xml:space="preserve">p&lt;0.001), and the LSTM+GAT has a significantly lower QLIKE than the no-graph LSTM in both panels (VN100 h1</w:t>
      </w:r>
      <w:r>
        <w:t xml:space="preserve"> </w:t>
      </w:r>
      <w:r>
        <w:t xml:space="preserve">p&lt;0.001, h5 p=0.022; VN30 h1 p&lt;0.001, h5 p=0.031), reaching HAR’s QLIKE level at VN100 h5 (0.5690 versus</w:t>
      </w:r>
      <w:r>
        <w:t xml:space="preserve"> </w:t>
      </w:r>
      <w:r>
        <w:t xml:space="preserve">0.5633). At h10 and h22 HAR has the lowest MSE, RMSE, QLIKE and R², and the LSTM+GAT-versus-LSTM QLIKE</w:t>
      </w:r>
      <w:r>
        <w:t xml:space="preserve"> </w:t>
      </w:r>
      <w:r>
        <w:t xml:space="preserve">difference is not significant (p ≥ 0.55). The ranking is metric- and horizon-dependent, so all five metrics</w:t>
      </w:r>
      <w:r>
        <w:t xml:space="preserve"> </w:t>
      </w:r>
      <w:r>
        <w:t xml:space="preserve">are reported with equal weight. Methodologically, a naive per-observation DM test on this cross-sectionally</w:t>
      </w:r>
      <w:r>
        <w:t xml:space="preserve"> </w:t>
      </w:r>
      <w:r>
        <w:t xml:space="preserve">dependent panel overstates significance by roughly the square root of the number of stocks (all stocks share the same trading days).</w:t>
      </w:r>
      <w:r>
        <w:t xml:space="preserve"> </w:t>
      </w:r>
      <w:r>
        <w:t xml:space="preserve">Every number is read from a stored results file.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Daily volatility forecasting underpins risk management, position sizing and derivative pricing. The HAR</w:t>
      </w:r>
      <w:r>
        <w:t xml:space="preserve"> </w:t>
      </w:r>
      <w:r>
        <w:t xml:space="preserve">model of Corsi (2009) is a linear benchmark: a few ordinary-least-squares coefficients on daily, weekly and</w:t>
      </w:r>
      <w:r>
        <w:t xml:space="preserve"> </w:t>
      </w:r>
      <w:r>
        <w:t xml:space="preserve">monthly aggregates of realized volatility capture much of the long-memory structure of the series. Deep</w:t>
      </w:r>
      <w:r>
        <w:t xml:space="preserve"> </w:t>
      </w:r>
      <w:r>
        <w:t xml:space="preserve">sequence models and graph neural networks are frequently proposed to capture nonlinear temporal dynamics and</w:t>
      </w:r>
      <w:r>
        <w:t xml:space="preserve"> </w:t>
      </w:r>
      <w:r>
        <w:t xml:space="preserve">cross-sectional volatility spillovers, and the evidence that they out-of-sample beat HAR is mixed; positive</w:t>
      </w:r>
      <w:r>
        <w:t xml:space="preserve"> </w:t>
      </w:r>
      <w:r>
        <w:t xml:space="preserve">claims are often confounded by data-design choices, such as a common-date intersection that discards most of</w:t>
      </w:r>
      <w:r>
        <w:t xml:space="preserve"> </w:t>
      </w:r>
      <w:r>
        <w:t xml:space="preserve">the panel or a naive significance test on cross-sectionally dependent data.</w:t>
      </w:r>
    </w:p>
    <w:p>
      <w:pPr>
        <w:pStyle w:val="BodyText"/>
      </w:pPr>
      <w:r>
        <w:t xml:space="preserve">This paper measures, under a single panel-correct evaluation on the Vietnamese equity market, whether the</w:t>
      </w:r>
      <w:r>
        <w:t xml:space="preserve"> </w:t>
      </w:r>
      <w:r>
        <w:t xml:space="preserve">temporal nonlinearity or the cross-sectional graph changes the forecast relative to a linear HAR. We ask two</w:t>
      </w:r>
      <w:r>
        <w:t xml:space="preserve"> </w:t>
      </w:r>
      <w:r>
        <w:t xml:space="preserve">questions:</w:t>
      </w:r>
    </w:p>
    <w:p>
      <w:pPr>
        <w:pStyle w:val="Compact"/>
        <w:numPr>
          <w:ilvl w:val="0"/>
          <w:numId w:val="1001"/>
        </w:numPr>
      </w:pPr>
      <w:r>
        <w:t xml:space="preserve">Does a deep temporal LSTM over the shared feature set change the out-of-sample forecast relative to the</w:t>
      </w:r>
      <w:r>
        <w:t xml:space="preserve"> </w:t>
      </w:r>
      <w:r>
        <w:t xml:space="preserve">linear HAR, and at which horizons and metrics?</w:t>
      </w:r>
    </w:p>
    <w:p>
      <w:pPr>
        <w:pStyle w:val="Compact"/>
        <w:numPr>
          <w:ilvl w:val="0"/>
          <w:numId w:val="1001"/>
        </w:numPr>
      </w:pPr>
      <w:r>
        <w:t xml:space="preserve">Does a cross-sectional Graph Attention Network branch — here a directed volume→Parkinson weighted graph —</w:t>
      </w:r>
      <w:r>
        <w:t xml:space="preserve"> </w:t>
      </w:r>
      <w:r>
        <w:t xml:space="preserve">change the out-of-sample forecast relative to the same-feature no-graph LSTM?</w:t>
      </w:r>
    </w:p>
    <w:p>
      <w:pPr>
        <w:pStyle w:val="FirstParagraph"/>
      </w:pPr>
      <w:r>
        <w:t xml:space="preserve">To answer these we use a</w:t>
      </w:r>
      <w:r>
        <w:t xml:space="preserve"> </w:t>
      </w:r>
      <w:r>
        <w:rPr>
          <w:b/>
          <w:bCs/>
        </w:rPr>
        <w:t xml:space="preserve">masked panel</w:t>
      </w:r>
      <w:r>
        <w:t xml:space="preserve">: rather than intersecting to the dates on which every</w:t>
      </w:r>
      <w:r>
        <w:t xml:space="preserve"> </w:t>
      </w:r>
      <w:r>
        <w:t xml:space="preserve">ticker is present, we keep the union of trading dates, with node and target masks for tickers not yet listed</w:t>
      </w:r>
      <w:r>
        <w:t xml:space="preserve"> </w:t>
      </w:r>
      <w:r>
        <w:t xml:space="preserve">on a given date, so late-listed tickers are included without dropping whole dates and every model — including</w:t>
      </w:r>
      <w:r>
        <w:t xml:space="preserve"> </w:t>
      </w:r>
      <w:r>
        <w:t xml:space="preserve">the graph model — is trained and evaluated on the same panel with the same five features.</w:t>
      </w:r>
    </w:p>
    <w:p>
      <w:pPr>
        <w:pStyle w:val="BodyText"/>
      </w:pPr>
      <w:r>
        <w:t xml:space="preserve">Our contributions are: (i) a multi-horizon benchmark on the masked VN30/VN100 panel that holds</w:t>
      </w:r>
      <w:r>
        <w:t xml:space="preserve"> </w:t>
      </w:r>
      <w:r>
        <w:t xml:space="preserve">the feature set and the data design fixed across HAR, an LSTM and an LSTM+GAT, so any difference is</w:t>
      </w:r>
      <w:r>
        <w:t xml:space="preserve"> </w:t>
      </w:r>
      <w:r>
        <w:t xml:space="preserve">attributable to a single component; (ii) per-horizon results on all five metrics with the date-clustered DM</w:t>
      </w:r>
      <w:r>
        <w:t xml:space="preserve"> </w:t>
      </w:r>
      <w:r>
        <w:t xml:space="preserve">test — HAR has the lowest QLIKE at every horizon with no learned model significantly lower, the deep models</w:t>
      </w:r>
      <w:r>
        <w:t xml:space="preserve"> </w:t>
      </w:r>
      <w:r>
        <w:t xml:space="preserve">have the lowest short-horizon MAE on VN100, and the LSTM+GAT has a significantly lower QLIKE than the no-graph</w:t>
      </w:r>
      <w:r>
        <w:t xml:space="preserve"> </w:t>
      </w:r>
      <w:r>
        <w:t xml:space="preserve">LSTM at h1 and h5 in both panels but not at h10 or h22; and (iii) a methodological contribution — the</w:t>
      </w:r>
      <w:r>
        <w:t xml:space="preserve"> </w:t>
      </w:r>
      <w:r>
        <w:t xml:space="preserve">date-clustered DM test, since a naive per-observation test overstates significance by a factor on the order</w:t>
      </w:r>
      <w:r>
        <w:t xml:space="preserve"> </w:t>
      </w:r>
      <w:r>
        <w:t xml:space="preserve">of the square root of the cross-section size. Every number reported here is taken from a stored results file.</w:t>
      </w:r>
    </w:p>
    <w:p>
      <w:r>
        <w:pict>
          <v:rect style="width:0;height:1.5pt" o:hralign="center" o:hrstd="t" o:hr="t"/>
        </w:pict>
      </w:r>
    </w:p>
    <w:bookmarkEnd w:id="10"/>
    <w:bookmarkStart w:id="11" w:name="related-work"/>
    <w:p>
      <w:pPr>
        <w:pStyle w:val="Heading2"/>
      </w:pPr>
      <w:r>
        <w:t xml:space="preserve">2. Related Work</w:t>
      </w:r>
    </w:p>
    <w:p>
      <w:pPr>
        <w:pStyle w:val="FirstParagraph"/>
      </w:pPr>
      <w:r>
        <w:rPr>
          <w:b/>
          <w:bCs/>
        </w:rPr>
        <w:t xml:space="preserve">HAR and classical volatility models.</w:t>
      </w:r>
      <w:r>
        <w:t xml:space="preserve"> </w:t>
      </w:r>
      <w:r>
        <w:t xml:space="preserve">The HAR model (Corsi, 2009) approximates the long memory of</w:t>
      </w:r>
      <w:r>
        <w:t xml:space="preserve"> </w:t>
      </w:r>
      <w:r>
        <w:t xml:space="preserve">realized volatility with a cascade of daily, weekly and monthly components, motivated by the heterogeneous</w:t>
      </w:r>
      <w:r>
        <w:t xml:space="preserve"> </w:t>
      </w:r>
      <w:r>
        <w:t xml:space="preserve">market hypothesis. Recent machine-learning work reports that rolling-window and specification choices, rather</w:t>
      </w:r>
      <w:r>
        <w:t xml:space="preserve"> </w:t>
      </w:r>
      <w:r>
        <w:t xml:space="preserve">than model class, often account for measured differences from HAR (Audrino and Chassot, 2025). Extensions</w:t>
      </w:r>
      <w:r>
        <w:t xml:space="preserve"> </w:t>
      </w:r>
      <w:r>
        <w:t xml:space="preserve">such as HARQ (Bollerslev, Patton and Quaedvlieg, 2016) exploit measurement error, and GARCH-family models</w:t>
      </w:r>
      <w:r>
        <w:t xml:space="preserve"> </w:t>
      </w:r>
      <w:r>
        <w:t xml:space="preserve">remain standard conditional-variance benchmarks. We use HAR as the linear baseline and GARCH(1,1) as a classical benchmark.</w:t>
      </w:r>
    </w:p>
    <w:p>
      <w:pPr>
        <w:pStyle w:val="BodyText"/>
      </w:pPr>
      <w:r>
        <w:rPr>
          <w:b/>
          <w:bCs/>
        </w:rPr>
        <w:t xml:space="preserve">Deep and graph models for volatility.</w:t>
      </w:r>
      <w:r>
        <w:t xml:space="preserve"> </w:t>
      </w:r>
      <w:r>
        <w:t xml:space="preserve">LSTMs (Hochreiter and Schmidhuber, 1997) are widely applied to</w:t>
      </w:r>
      <w:r>
        <w:t xml:space="preserve"> </w:t>
      </w:r>
      <w:r>
        <w:t xml:space="preserve">financial time series, and graph neural networks have been proposed to model cross-asset spillovers, for</w:t>
      </w:r>
      <w:r>
        <w:t xml:space="preserve"> </w:t>
      </w:r>
      <w:r>
        <w:t xml:space="preserve">example Graph Attention Networks (Veličković et al., 2018), multivariate realized-volatility GNNs (Chen and</w:t>
      </w:r>
      <w:r>
        <w:t xml:space="preserve"> </w:t>
      </w:r>
      <w:r>
        <w:t xml:space="preserve">Robert, 2022) and spillover-aware GNN-HAR hybrids (Zhang et al., 2025). Reported effects vary across studies</w:t>
      </w:r>
      <w:r>
        <w:t xml:space="preserve"> </w:t>
      </w:r>
      <w:r>
        <w:t xml:space="preserve">and data designs. Volatility spillover measurement itself has a long econometric tradition (Diebold and</w:t>
      </w:r>
      <w:r>
        <w:t xml:space="preserve"> </w:t>
      </w:r>
      <w:r>
        <w:t xml:space="preserve">Yilmaz, 2012).</w:t>
      </w:r>
    </w:p>
    <w:p>
      <w:pPr>
        <w:pStyle w:val="BodyText"/>
      </w:pPr>
      <w:r>
        <w:rPr>
          <w:b/>
          <w:bCs/>
        </w:rPr>
        <w:t xml:space="preserve">Graph construction.</w:t>
      </w:r>
      <w:r>
        <w:t xml:space="preserve"> </w:t>
      </w:r>
      <w:r>
        <w:t xml:space="preserve">The edge set is a design choice. Our graph uses a directed volume→Parkinson relation</w:t>
      </w:r>
      <w:r>
        <w:t xml:space="preserve"> </w:t>
      </w:r>
      <w:r>
        <w:t xml:space="preserve">(each node attends to its Top-5 volume-shock leaders, edge-weighted, over two hops), motivated by volume</w:t>
      </w:r>
      <w:r>
        <w:t xml:space="preserve"> </w:t>
      </w:r>
      <w:r>
        <w:t xml:space="preserve">leading volatility.</w:t>
      </w:r>
    </w:p>
    <w:p>
      <w:pPr>
        <w:pStyle w:val="BodyText"/>
      </w:pPr>
      <w:r>
        <w:rPr>
          <w:b/>
          <w:bCs/>
        </w:rPr>
        <w:t xml:space="preserve">Forecast evaluation.</w:t>
      </w:r>
      <w:r>
        <w:t xml:space="preserve"> </w:t>
      </w:r>
      <w:r>
        <w:t xml:space="preserve">Volatility is latent, so we use the QLIKE loss, which is robust to the volatility</w:t>
      </w:r>
      <w:r>
        <w:t xml:space="preserve"> </w:t>
      </w:r>
      <w:r>
        <w:t xml:space="preserve">proxy (Patton, 2011), alongside MSE-based losses. Statistical significance of forecast-accuracy differences</w:t>
      </w:r>
      <w:r>
        <w:t xml:space="preserve"> </w:t>
      </w:r>
      <w:r>
        <w:t xml:space="preserve">is assessed with the Diebold–Mariano test (Diebold and Mariano, 1995) using the small-sample correction of</w:t>
      </w:r>
      <w:r>
        <w:t xml:space="preserve"> </w:t>
      </w:r>
      <w:r>
        <w:t xml:space="preserve">Harvey, Leybourne and Newbold (1997).</w:t>
      </w:r>
    </w:p>
    <w:p>
      <w:r>
        <w:pict>
          <v:rect style="width:0;height:1.5pt" o:hralign="center" o:hrstd="t" o:hr="t"/>
        </w:pict>
      </w:r>
    </w:p>
    <w:bookmarkEnd w:id="11"/>
    <w:bookmarkStart w:id="19" w:name="method"/>
    <w:p>
      <w:pPr>
        <w:pStyle w:val="Heading2"/>
      </w:pPr>
      <w:r>
        <w:t xml:space="preserve">3. Method</w:t>
      </w:r>
    </w:p>
    <w:bookmarkStart w:id="12" w:name="target-and-features"/>
    <w:p>
      <w:pPr>
        <w:pStyle w:val="Heading3"/>
      </w:pPr>
      <w:r>
        <w:t xml:space="preserve">3.1 Target and features</w:t>
      </w:r>
    </w:p>
    <w:p>
      <w:pPr>
        <w:pStyle w:val="FirstParagraph"/>
      </w:pPr>
      <w:r>
        <w:t xml:space="preserve">The forecasting target is the Parkinson variance estimator (Parkinson, 1980) at day</w:t>
      </w:r>
      <w:r>
        <w:t xml:space="preserve"> </w:t>
      </w:r>
      <w:r>
        <w:rPr>
          <w:rStyle w:val="VerbatimChar"/>
        </w:rPr>
        <w:t xml:space="preserve">t+h</w:t>
      </w:r>
      <w:r>
        <w:t xml:space="preserve">, a non-negative</w:t>
      </w:r>
      <w:r>
        <w:t xml:space="preserve"> </w:t>
      </w:r>
      <w:r>
        <w:t xml:space="preserve">point forecast. The primary target is short-term: horizons</w:t>
      </w:r>
      <w:r>
        <w:t xml:space="preserve"> </w:t>
      </w:r>
      <w:r>
        <w:rPr>
          <w:rStyle w:val="VerbatimChar"/>
        </w:rPr>
        <w:t xml:space="preserve">h ∈ {1, 5}</w:t>
      </w:r>
      <w:r>
        <w:t xml:space="preserve"> </w:t>
      </w:r>
      <w:r>
        <w:t xml:space="preserve">(one trading day and one trading week</w:t>
      </w:r>
      <w:r>
        <w:t xml:space="preserve"> </w:t>
      </w:r>
      <w:r>
        <w:t xml:space="preserve">ahead); horizons</w:t>
      </w:r>
      <w:r>
        <w:t xml:space="preserve"> </w:t>
      </w:r>
      <w:r>
        <w:rPr>
          <w:rStyle w:val="VerbatimChar"/>
        </w:rPr>
        <w:t xml:space="preserve">h ∈ {10, 22}</w:t>
      </w:r>
      <w:r>
        <w:t xml:space="preserve"> </w:t>
      </w:r>
      <w:r>
        <w:t xml:space="preserve">(two weeks and roughly one trading month ahead) are reported as an extended</w:t>
      </w:r>
      <w:r>
        <w:t xml:space="preserve"> </w:t>
      </w:r>
      <w:r>
        <w:t xml:space="preserve">study. All three feature-based models (HAR, LSTM, LSTM+GAT) use the same five node features per ticker at day</w:t>
      </w:r>
      <w:r>
        <w:t xml:space="preserve"> </w:t>
      </w:r>
      <w:r>
        <w:rPr>
          <w:rStyle w:val="VerbatimChar"/>
        </w:rPr>
        <w:t xml:space="preserve">t</w:t>
      </w:r>
      <w:r>
        <w:t xml:space="preserve">: the daily Parkinson variance,</w:t>
      </w:r>
      <w:r>
        <w:t xml:space="preserve"> </w:t>
      </w:r>
      <w:r>
        <w:t xml:space="preserve">its 5-day rolling mean (weekly), its 22-day rolling mean (monthly), a market Parkinson factor (the</w:t>
      </w:r>
      <w:r>
        <w:t xml:space="preserve"> </w:t>
      </w:r>
      <w:r>
        <w:t xml:space="preserve">cross-sectional median of the square-root Parkinson variance) and a 20-day volume z-score.</w:t>
      </w:r>
    </w:p>
    <w:bookmarkEnd w:id="12"/>
    <w:bookmarkStart w:id="16" w:name="models"/>
    <w:p>
      <w:pPr>
        <w:pStyle w:val="Heading3"/>
      </w:pPr>
      <w:r>
        <w:t xml:space="preserve">3.2 Models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</w:t>
      </w:r>
      <w:r>
        <w:t xml:space="preserve"> </w:t>
      </w:r>
      <w:r>
        <w:t xml:space="preserve">(baseline): pooled ordinary-least-squares regression on the five features, linear.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LSTM (5-feature)</w:t>
      </w:r>
      <w:r>
        <w:t xml:space="preserve">: a two-layer LSTM (hidden size 64) over the lookback window of the five features. A</w:t>
      </w:r>
      <w:r>
        <w:t xml:space="preserve"> </w:t>
      </w:r>
      <w:r>
        <w:t xml:space="preserve">single pooled model is trained over all tickers; each ticker is standardized with its own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fit on training rows only; the output is linear and inverse-transformed to the physical scale for</w:t>
      </w:r>
      <w:r>
        <w:t xml:space="preserve"> </w:t>
      </w:r>
      <w:r>
        <w:t xml:space="preserve">evaluation. Dropout, weight decay, gradient clipping, a</w:t>
      </w:r>
      <w:r>
        <w:t xml:space="preserve"> </w:t>
      </w:r>
      <w:r>
        <w:rPr>
          <w:rStyle w:val="VerbatimChar"/>
        </w:rPr>
        <w:t xml:space="preserve">ReduceLROnPlateau</w:t>
      </w:r>
      <w:r>
        <w:t xml:space="preserve"> </w:t>
      </w:r>
      <w:r>
        <w:t xml:space="preserve">schedule and early stopping are</w:t>
      </w:r>
      <w:r>
        <w:t xml:space="preserve"> </w:t>
      </w:r>
      <w:r>
        <w:t xml:space="preserve">used.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LSTM+GAT (5-feature)</w:t>
      </w:r>
      <w:r>
        <w:t xml:space="preserve"> </w:t>
      </w:r>
      <w:r>
        <w:t xml:space="preserve">(Figure 1): the LSTM temporal branch above, plus a Graph Attention Network</w:t>
      </w:r>
      <w:r>
        <w:t xml:space="preserve"> </w:t>
      </w:r>
      <w:r>
        <w:t xml:space="preserve">spatial branch (Veličković et al., 2018) that reads the five node features at day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and attends over a</w:t>
      </w:r>
      <w:r>
        <w:t xml:space="preserve"> </w:t>
      </w:r>
      <w:r>
        <w:t xml:space="preserve">directed volume→Parkinson Top-5, edge-weighted, two-hop graph estimated on training rows only. The two</w:t>
      </w:r>
      <w:r>
        <w:t xml:space="preserve"> </w:t>
      </w:r>
      <w:r>
        <w:t xml:space="preserve">branch outputs are concatenated and passed to an MLP head. The leave-one-out comparison against the</w:t>
      </w:r>
      <w:r>
        <w:t xml:space="preserve"> </w:t>
      </w:r>
      <w:r>
        <w:t xml:space="preserve">same-feature</w:t>
      </w:r>
      <w:r>
        <w:t xml:space="preserve"> </w:t>
      </w:r>
      <w:r>
        <w:rPr>
          <w:b/>
          <w:bCs/>
        </w:rPr>
        <w:t xml:space="preserve">LSTM</w:t>
      </w:r>
      <w:r>
        <w:t xml:space="preserve"> </w:t>
      </w:r>
      <w:r>
        <w:t xml:space="preserve">isolates the graph’s marginal contribution.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GARCH(1,1)</w:t>
      </w:r>
      <w:r>
        <w:t xml:space="preserve">: a conditional-variance model fit per ticker on the training Parkinson-variance series (via pseudo-returns), a classical benchmark that forecasts the variance series directly and does not use the node features.</w:t>
      </w:r>
    </w:p>
    <w:p>
      <w:pPr>
        <w:pStyle w:val="CaptionedFigure"/>
      </w:pPr>
      <w:r>
        <w:drawing>
          <wp:inline>
            <wp:extent cx="5334000" cy="1831492"/>
            <wp:effectExtent b="0" l="0" r="0" t="0"/>
            <wp:docPr descr="Figure 1: HAR-LSTM-GAT architecture" title="" id="14" name="Picture"/>
            <a:graphic>
              <a:graphicData uri="http://schemas.openxmlformats.org/drawingml/2006/picture">
                <pic:pic>
                  <pic:nvPicPr>
                    <pic:cNvPr descr="diagrams/soict_harlstmgat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1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HAR-LSTM-GAT architecture</w:t>
      </w:r>
    </w:p>
    <w:p>
      <w:pPr>
        <w:pStyle w:val="BodyText"/>
      </w:pPr>
      <w:r>
        <w:rPr>
          <w:i/>
          <w:iCs/>
        </w:rPr>
        <w:t xml:space="preserve">Figure 1. Architecture of LSTM+GAT: a per-node LSTM temporal branch and a GAT spatial branch (directed</w:t>
      </w:r>
      <w:r>
        <w:rPr>
          <w:i/>
          <w:iCs/>
        </w:rPr>
        <w:t xml:space="preserve"> </w:t>
      </w:r>
      <w:r>
        <w:rPr>
          <w:i/>
          <w:iCs/>
        </w:rPr>
        <w:t xml:space="preserve">volume→Parkinson Top-5 weighted two-hop attention) are concatenated and passed to an MLP head; the</w:t>
      </w:r>
      <w:r>
        <w:rPr>
          <w:i/>
          <w:iCs/>
        </w:rPr>
        <w:t xml:space="preserve"> </w:t>
      </w:r>
      <w:r>
        <w:rPr>
          <w:i/>
          <w:iCs/>
        </w:rPr>
        <w:t xml:space="preserve">leave-one-out comparison removes the GAT branch to give the same-feature LSTM.</w:t>
      </w:r>
    </w:p>
    <w:bookmarkEnd w:id="16"/>
    <w:bookmarkStart w:id="17" w:name="masked-panel"/>
    <w:p>
      <w:pPr>
        <w:pStyle w:val="Heading3"/>
      </w:pPr>
      <w:r>
        <w:t xml:space="preserve">3.3 Masked panel</w:t>
      </w:r>
    </w:p>
    <w:p>
      <w:pPr>
        <w:pStyle w:val="FirstParagraph"/>
      </w:pPr>
      <w:r>
        <w:t xml:space="preserve">A GAT operates over a common-date cross-section, which naively forces a common-date intersection design (keep</w:t>
      </w:r>
      <w:r>
        <w:t xml:space="preserve"> </w:t>
      </w:r>
      <w:r>
        <w:t xml:space="preserve">only dates on which every ticker is present) that discards most ticker-days and places the whole test set in</w:t>
      </w:r>
      <w:r>
        <w:t xml:space="preserve"> </w:t>
      </w:r>
      <w:r>
        <w:t xml:space="preserve">one recent period. We instead use a</w:t>
      </w:r>
      <w:r>
        <w:t xml:space="preserve"> </w:t>
      </w:r>
      <w:r>
        <w:rPr>
          <w:b/>
          <w:bCs/>
        </w:rPr>
        <w:t xml:space="preserve">masked panel</w:t>
      </w:r>
      <w:r>
        <w:t xml:space="preserve">: the GAT operates over a common-date</w:t>
      </w:r>
      <w:r>
        <w:t xml:space="preserve"> </w:t>
      </w:r>
      <w:r>
        <w:t xml:space="preserve">cross-section with node and target masks for tickers not yet listed on a given date, so late-listed tickers</w:t>
      </w:r>
      <w:r>
        <w:t xml:space="preserve"> </w:t>
      </w:r>
      <w:r>
        <w:t xml:space="preserve">are included without dropping whole dates, and a</w:t>
      </w:r>
      <w:r>
        <w:t xml:space="preserve"> </w:t>
      </w:r>
      <w:r>
        <w:rPr>
          <w:b/>
          <w:bCs/>
        </w:rPr>
        <w:t xml:space="preserve">mask-aware loss</w:t>
      </w:r>
      <w:r>
        <w:t xml:space="preserve"> </w:t>
      </w:r>
      <w:r>
        <w:t xml:space="preserve">ignores absent tickers. Every model —</w:t>
      </w:r>
      <w:r>
        <w:t xml:space="preserve"> </w:t>
      </w:r>
      <w:r>
        <w:t xml:space="preserve">HAR, LSTM and LSTM+GAT — is trained and evaluated on the same panel with the same five features and the same</w:t>
      </w:r>
      <w:r>
        <w:t xml:space="preserve"> </w:t>
      </w:r>
      <w:r>
        <w:t xml:space="preserve">chronological split. The panel yields test sets of 46,308 masked observations over 454 test dates on VN100</w:t>
      </w:r>
      <w:r>
        <w:t xml:space="preserve"> </w:t>
      </w:r>
      <w:r>
        <w:t xml:space="preserve">(h1) and 10,106 observations over 326 test dates on VN30 (h1).</w:t>
      </w:r>
    </w:p>
    <w:bookmarkEnd w:id="17"/>
    <w:bookmarkStart w:id="18" w:name="training-and-evaluation-protocol"/>
    <w:p>
      <w:pPr>
        <w:pStyle w:val="Heading3"/>
      </w:pPr>
      <w:r>
        <w:t xml:space="preserve">3.4 Training and evaluation protocol</w:t>
      </w:r>
    </w:p>
    <w:p>
      <w:pPr>
        <w:pStyle w:val="FirstParagraph"/>
      </w:pPr>
      <w:r>
        <w:t xml:space="preserve">Each configuration is run with five seeds, up to 20 epochs with early stopping, on GPU with parallel data</w:t>
      </w:r>
      <w:r>
        <w:t xml:space="preserve"> </w:t>
      </w:r>
      <w:r>
        <w:t xml:space="preserve">workers. We report five metrics — MSE, RMSE, MAE, QLIKE and R² — seed-averaged over the test set, with equal</w:t>
      </w:r>
      <w:r>
        <w:t xml:space="preserve"> </w:t>
      </w:r>
      <w:r>
        <w:t xml:space="preserve">weight. Predictions are floored at 1e-2 times the per-node training mean, applied identically to every model.</w:t>
      </w:r>
    </w:p>
    <w:p>
      <w:pPr>
        <w:pStyle w:val="BodyText"/>
      </w:pPr>
      <w:r>
        <w:t xml:space="preserve">Statistical significance is assessed with the</w:t>
      </w:r>
      <w:r>
        <w:t xml:space="preserve"> </w:t>
      </w:r>
      <w:r>
        <w:rPr>
          <w:b/>
          <w:bCs/>
        </w:rPr>
        <w:t xml:space="preserve">date-clustered Diebold–Mariano test</w:t>
      </w:r>
      <w:r>
        <w:t xml:space="preserve">: the per-observation</w:t>
      </w:r>
      <w:r>
        <w:t xml:space="preserve"> </w:t>
      </w:r>
      <w:r>
        <w:t xml:space="preserve">loss differential is collapsed to one value per calendar date before the DM statistic is computed, with the</w:t>
      </w:r>
      <w:r>
        <w:t xml:space="preserve"> </w:t>
      </w:r>
      <w:r>
        <w:t xml:space="preserve">Harvey–Leybourne–Newbold small-sample correction and a HAC lag of</w:t>
      </w:r>
      <w:r>
        <w:t xml:space="preserve"> </w:t>
      </w:r>
      <w:r>
        <w:rPr>
          <w:rStyle w:val="VerbatimChar"/>
        </w:rPr>
        <w:t xml:space="preserve">h-1</w:t>
      </w:r>
      <w:r>
        <w:t xml:space="preserve">. This is the panel-correct treatment</w:t>
      </w:r>
      <w:r>
        <w:t xml:space="preserve"> </w:t>
      </w:r>
      <w:r>
        <w:t xml:space="preserve">for a cross-section in which all tickers share each trading date; a naive per-observation DM over every</w:t>
      </w:r>
      <w:r>
        <w:t xml:space="preserve"> </w:t>
      </w:r>
      <w:r>
        <w:t xml:space="preserve">(ticker, date) row treats the effective sample as the number of tickers times the number of dates,</w:t>
      </w:r>
      <w:r>
        <w:t xml:space="preserve"> </w:t>
      </w:r>
      <w:r>
        <w:t xml:space="preserve">understates the loss-differential variance, and inflates the statistic by a factor on the order of the</w:t>
      </w:r>
      <w:r>
        <w:t xml:space="preserve"> </w:t>
      </w:r>
      <w:r>
        <w:t xml:space="preserve">square root of the cross-section size (roughly six on VN30 and ten on VN100). All significance statements use</w:t>
      </w:r>
      <w:r>
        <w:t xml:space="preserve"> </w:t>
      </w:r>
      <w:r>
        <w:t xml:space="preserve">the date-clustered test. We report two targeted contrasts — LSTM versus HAR and LSTM+GAT versus LSTM — on</w:t>
      </w:r>
      <w:r>
        <w:t xml:space="preserve"> </w:t>
      </w:r>
      <w:r>
        <w:t xml:space="preserve">QLIKE and MAE.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data"/>
    <w:p>
      <w:pPr>
        <w:pStyle w:val="Heading2"/>
      </w:pPr>
      <w:r>
        <w:t xml:space="preserve">4. Data</w:t>
      </w:r>
    </w:p>
    <w:p>
      <w:pPr>
        <w:pStyle w:val="FirstParagraph"/>
      </w:pPr>
      <w:r>
        <w:t xml:space="preserve">Two equity panels are used, both with the Parkinson variance target: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Tickers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VN30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Primary (Vietnam)</w:t>
            </w:r>
          </w:p>
        </w:tc>
        <w:tc>
          <w:tcPr/>
          <w:p>
            <w:pPr>
              <w:pStyle w:val="Compact"/>
            </w:pPr>
            <w:r>
              <w:t xml:space="preserve">Project processed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VN100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Vietnam breadth</w:t>
            </w:r>
          </w:p>
        </w:tc>
        <w:tc>
          <w:tcPr/>
          <w:p>
            <w:pPr>
              <w:pStyle w:val="Compact"/>
            </w:pPr>
            <w:r>
              <w:t xml:space="preserve">vnstock</w:t>
            </w:r>
          </w:p>
        </w:tc>
      </w:tr>
    </w:tbl>
    <w:p>
      <w:pPr>
        <w:pStyle w:val="BodyText"/>
      </w:pPr>
      <w:r>
        <w:t xml:space="preserve">Both panels use the panel of Section 3.3 with the five features, a single chronological</w:t>
      </w:r>
      <w:r>
        <w:t xml:space="preserve"> </w:t>
      </w:r>
      <w:r>
        <w:t xml:space="preserve">split and per-ticker standardization fit on training rows only.</w:t>
      </w:r>
    </w:p>
    <w:p>
      <w:r>
        <w:pict>
          <v:rect style="width:0;height:1.5pt" o:hralign="center" o:hrstd="t" o:hr="t"/>
        </w:pict>
      </w:r>
    </w:p>
    <w:bookmarkEnd w:id="20"/>
    <w:bookmarkStart w:id="21" w:name="experiments"/>
    <w:p>
      <w:pPr>
        <w:pStyle w:val="Heading2"/>
      </w:pPr>
      <w:r>
        <w:t xml:space="preserve">5. Experiments</w:t>
      </w:r>
    </w:p>
    <w:p>
      <w:pPr>
        <w:pStyle w:val="FirstParagraph"/>
      </w:pPr>
      <w:r>
        <w:t xml:space="preserve">We compare HAR, the five-feature LSTM and the five-feature LSTM+GAT (directed volume→Parkinson weighted</w:t>
      </w:r>
      <w:r>
        <w:t xml:space="preserve"> </w:t>
      </w:r>
      <w:r>
        <w:t xml:space="preserve">two-hop) on VN30 and VN100 over the panel at horizons {1, 5, 10, 22}, reporting all</w:t>
      </w:r>
      <w:r>
        <w:t xml:space="preserve"> </w:t>
      </w:r>
      <w:r>
        <w:t xml:space="preserve">five metrics and the two targeted date-clustered DM contrasts (LSTM versus HAR, LSTM+GAT versus LSTM).</w:t>
      </w:r>
    </w:p>
    <w:p>
      <w:r>
        <w:pict>
          <v:rect style="width:0;height:1.5pt" o:hralign="center" o:hrstd="t" o:hr="t"/>
        </w:pict>
      </w:r>
    </w:p>
    <w:bookmarkEnd w:id="21"/>
    <w:bookmarkStart w:id="24" w:name="results"/>
    <w:p>
      <w:pPr>
        <w:pStyle w:val="Heading2"/>
      </w:pPr>
      <w:r>
        <w:t xml:space="preserve">6. Results</w:t>
      </w:r>
    </w:p>
    <w:p>
      <w:pPr>
        <w:pStyle w:val="FirstParagraph"/>
      </w:pPr>
      <w:r>
        <w:t xml:space="preserve">Point-error metrics are reported in scaled units to avoid scientific notation:</w:t>
      </w:r>
      <w:r>
        <w:t xml:space="preserve"> </w:t>
      </w:r>
      <w:r>
        <w:rPr>
          <w:b/>
          <w:bCs/>
        </w:rPr>
        <w:t xml:space="preserve">MSE ×10⁻⁷, RMSE ×10⁻⁴, MAE</w:t>
      </w:r>
      <w:r>
        <w:rPr>
          <w:b/>
          <w:bCs/>
        </w:rPr>
        <w:t xml:space="preserve"> </w:t>
      </w:r>
      <w:r>
        <w:rPr>
          <w:b/>
          <w:bCs/>
        </w:rPr>
        <w:t xml:space="preserve">×10⁻⁴</w:t>
      </w:r>
      <w:r>
        <w:t xml:space="preserve">. QLIKE and R² are unscaled. All values are the five-seed test-set means from the stored</w:t>
      </w:r>
      <w:r>
        <w:t xml:space="preserve"> </w:t>
      </w:r>
      <w:r>
        <w:rPr>
          <w:rStyle w:val="VerbatimChar"/>
        </w:rPr>
        <w:t xml:space="preserve">result.json</w:t>
      </w:r>
      <w:r>
        <w:t xml:space="preserve"> </w:t>
      </w:r>
      <w:r>
        <w:t xml:space="preserve">files (</w:t>
      </w:r>
      <w:r>
        <w:rPr>
          <w:rStyle w:val="VerbatimChar"/>
        </w:rPr>
        <w:t xml:space="preserve">results/masked_rich_floor1e2/</w:t>
      </w:r>
      <w:r>
        <w:t xml:space="preserve">). Row order is HAR → GARCH → LSTM → LSTM+GAT.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docs/reports/2026-08-22_masked_rich_floor1e2_clean.md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Tables 1 (VN100) and 2 (VN30) report all five metrics; Table 3 reports the two targeted date-clustered DM</w:t>
      </w:r>
      <w:r>
        <w:t xml:space="preserve"> </w:t>
      </w:r>
      <w:r>
        <w:t xml:space="preserve">contrasts on QLIKE and MAE. The primary horizons h1 and h5 appear first; the extended horizons h10 and h22</w:t>
      </w:r>
      <w:r>
        <w:t xml:space="preserve"> </w:t>
      </w:r>
      <w:r>
        <w:t xml:space="preserve">appear in the lower block of each table.</w:t>
      </w:r>
    </w:p>
    <w:p>
      <w:pPr>
        <w:pStyle w:val="BodyText"/>
      </w:pPr>
      <w:r>
        <w:rPr>
          <w:b/>
          <w:bCs/>
        </w:rPr>
        <w:t xml:space="preserve">Table 1. VN100 (46,308 masked obs over 454 test dates at h1; 5 seeds).</w:t>
      </w:r>
      <w:r>
        <w:t xml:space="preserve"> </w:t>
      </w:r>
      <w:r>
        <w:t xml:space="preserve">Lower is better for</w:t>
      </w:r>
      <w:r>
        <w:t xml:space="preserve"> </w:t>
      </w:r>
      <w:r>
        <w:t xml:space="preserve">MSE/RMSE/MAE/QLIKE, higher for R². † marks metrics where LSTM+GAT improves over the no-graph LSTM.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MSE (×10⁻⁷)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 (×10⁻⁴)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(×10⁻⁴)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QLIKE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-0.9407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2.362</w:t>
            </w:r>
            <w:r>
              <w:t xml:space="preserve">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4.860</w:t>
            </w:r>
            <w:r>
              <w:t xml:space="preserve">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2.819</w:t>
            </w:r>
            <w:r>
              <w:t xml:space="preserve">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0.5107</w:t>
            </w:r>
            <w:r>
              <w:t xml:space="preserve">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0.2251</w:t>
            </w: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2.606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0.5633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0.1466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-0.9136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2.635†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5.133†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0.5690†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0.1371†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2.754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0.6023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0.0978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-1.0957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3.276</w:t>
            </w:r>
            <w:r>
              <w:t xml:space="preserve">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HAR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2.891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0.6405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0.0544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-1.3184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0.0178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2. VN30 (10,106 masked obs over 326 test dates at h1; 5 seeds).</w:t>
      </w:r>
      <w:r>
        <w:t xml:space="preserve"> </w:t>
      </w:r>
      <w:r>
        <w:t xml:space="preserve">Same scaling as Table 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MSE (×10⁻⁷)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 (×10⁻⁴)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(×10⁻⁴)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QLIKE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1.912</w:t>
            </w:r>
            <w:r>
              <w:t xml:space="preserve">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4.372</w:t>
            </w:r>
            <w:r>
              <w:t xml:space="preserve">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2.366</w:t>
            </w:r>
            <w:r>
              <w:t xml:space="preserve">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0.5800†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0.2368</w:t>
            </w: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2.139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4.625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2.583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0.5965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0.1497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2.147†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4.633†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0.6059†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0.1467†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0.6428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0.6564†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HAR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2.272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4.766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2.785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0.6422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0.0723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2.884†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0.6548†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0.0261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3. Targeted date-clustered DM contrasts (p-value; favoured model in parentheses; bold if p&lt;0.05).</w:t>
      </w:r>
      <w:r>
        <w:t xml:space="preserve"> </w:t>
      </w:r>
      <w:r>
        <w:t xml:space="preserve">H = HAR, L = LSTM, G = LSTM+GAT, on QLIKE and MAE.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LSTM vs HAR (QLIKE)</w:t>
            </w:r>
          </w:p>
        </w:tc>
        <w:tc>
          <w:tcPr/>
          <w:p>
            <w:pPr>
              <w:pStyle w:val="Compact"/>
            </w:pPr>
            <w:r>
              <w:t xml:space="preserve">(MAE)</w:t>
            </w:r>
          </w:p>
        </w:tc>
        <w:tc>
          <w:tcPr/>
          <w:p>
            <w:pPr>
              <w:pStyle w:val="Compact"/>
            </w:pPr>
            <w:r>
              <w:t xml:space="preserve">LSTM+GAT vs LSTM (QLIKE)</w:t>
            </w:r>
          </w:p>
        </w:tc>
        <w:tc>
          <w:tcPr/>
          <w:p>
            <w:pPr>
              <w:pStyle w:val="Compact"/>
            </w:pPr>
            <w:r>
              <w:t xml:space="preserve">(MAE)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VN100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0.028 (H)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(G)</w:t>
            </w:r>
          </w:p>
        </w:tc>
        <w:tc>
          <w:tcPr/>
          <w:p>
            <w:pPr>
              <w:pStyle w:val="Compact"/>
            </w:pPr>
            <w:r>
              <w:t xml:space="preserve">0.684 (G)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VN100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0.148 (H)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0.022 (G)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0.002 (L)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VN100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0.598 (H)</w:t>
            </w:r>
          </w:p>
        </w:tc>
        <w:tc>
          <w:tcPr/>
          <w:p>
            <w:pPr>
              <w:pStyle w:val="Compact"/>
            </w:pPr>
            <w:r>
              <w:t xml:space="preserve">0.201 (L)</w:t>
            </w:r>
          </w:p>
        </w:tc>
        <w:tc>
          <w:tcPr/>
          <w:p>
            <w:pPr>
              <w:pStyle w:val="Compact"/>
            </w:pPr>
            <w:r>
              <w:t xml:space="preserve">0.872 (L)</w:t>
            </w:r>
          </w:p>
        </w:tc>
        <w:tc>
          <w:tcPr/>
          <w:p>
            <w:pPr>
              <w:pStyle w:val="Compact"/>
            </w:pPr>
            <w:r>
              <w:t xml:space="preserve">0.064 (G)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VN100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0.429 (H)</w:t>
            </w:r>
          </w:p>
        </w:tc>
        <w:tc>
          <w:tcPr/>
          <w:p>
            <w:pPr>
              <w:pStyle w:val="Compact"/>
            </w:pPr>
            <w:r>
              <w:t xml:space="preserve">0.611 (L)</w:t>
            </w:r>
          </w:p>
        </w:tc>
        <w:tc>
          <w:tcPr/>
          <w:p>
            <w:pPr>
              <w:pStyle w:val="Compact"/>
            </w:pPr>
            <w:r>
              <w:t xml:space="preserve">0.658 (L)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VN30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(H)</w:t>
            </w:r>
          </w:p>
        </w:tc>
        <w:tc>
          <w:tcPr/>
          <w:p>
            <w:pPr>
              <w:pStyle w:val="Compact"/>
            </w:pPr>
            <w:r>
              <w:t xml:space="preserve">0.221 (H)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VN30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0.037 (H)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0.031 (G)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0.015 (L)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VN30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0.260 (H)</w:t>
            </w:r>
          </w:p>
        </w:tc>
        <w:tc>
          <w:tcPr/>
          <w:p>
            <w:pPr>
              <w:pStyle w:val="Compact"/>
            </w:pPr>
            <w:r>
              <w:t xml:space="preserve">0.340 (L)</w:t>
            </w:r>
          </w:p>
        </w:tc>
        <w:tc>
          <w:tcPr/>
          <w:p>
            <w:pPr>
              <w:pStyle w:val="Compact"/>
            </w:pPr>
            <w:r>
              <w:t xml:space="preserve">0.547 (G)</w:t>
            </w:r>
          </w:p>
        </w:tc>
        <w:tc>
          <w:tcPr/>
          <w:p>
            <w:pPr>
              <w:pStyle w:val="Compact"/>
            </w:pPr>
            <w:r>
              <w:t xml:space="preserve">0.624 (L)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VN30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0.318 (H)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0.001 (H)</w:t>
            </w:r>
          </w:p>
        </w:tc>
        <w:tc>
          <w:tcPr/>
          <w:p>
            <w:pPr>
              <w:pStyle w:val="Compact"/>
            </w:pPr>
            <w:r>
              <w:t xml:space="preserve">0.936 (G)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0.021 (G)</w:t>
            </w:r>
          </w:p>
        </w:tc>
      </w:tr>
    </w:tbl>
    <w:p>
      <w:pPr>
        <w:pStyle w:val="BodyText"/>
      </w:pPr>
      <w:r>
        <w:rPr>
          <w:b/>
          <w:bCs/>
        </w:rPr>
        <w:t xml:space="preserve">Short-horizon results (h1, h5).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VN100 h1.</w:t>
      </w:r>
      <w:r>
        <w:t xml:space="preserve"> </w:t>
      </w:r>
      <w:r>
        <w:t xml:space="preserve">The LSTM+GAT has the lowest value on all five metrics (MSE 2.362, RMSE 4.860, MAE 2.819, QLIKE</w:t>
      </w:r>
      <w:r>
        <w:t xml:space="preserve"> </w:t>
      </w:r>
      <w:r>
        <w:t xml:space="preserve">0.5107, R² 0.2251). By date-clustered DM, the LSTM has a lower MAE than HAR (p&lt;0.001), the LSTM has a higher</w:t>
      </w:r>
      <w:r>
        <w:t xml:space="preserve"> </w:t>
      </w:r>
      <w:r>
        <w:t xml:space="preserve">QLIKE than HAR (p=0.028), and the LSTM+GAT has a lower QLIKE than the no-graph LSTM (p&lt;0.001).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VN100 h5.</w:t>
      </w:r>
      <w:r>
        <w:t xml:space="preserve"> </w:t>
      </w:r>
      <w:r>
        <w:t xml:space="preserve">HAR has the lowest MSE, RMSE, QLIKE and highest R²; the LSTM has the lowest MAE (3.090). By DM,</w:t>
      </w:r>
      <w:r>
        <w:t xml:space="preserve"> </w:t>
      </w:r>
      <w:r>
        <w:t xml:space="preserve">the LSTM has a lower MAE than HAR (p&lt;0.001) and the LSTM+GAT has a lower QLIKE than the LSTM (p=0.022).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VN30 h1.</w:t>
      </w:r>
      <w:r>
        <w:t xml:space="preserve"> </w:t>
      </w:r>
      <w:r>
        <w:t xml:space="preserve">The LSTM+GAT has the lowest MSE, RMSE, MAE and highest R²; HAR has the lowest QLIKE (0.5159). By</w:t>
      </w:r>
      <w:r>
        <w:t xml:space="preserve"> </w:t>
      </w:r>
      <w:r>
        <w:t xml:space="preserve">DM, the LSTM has a higher QLIKE than HAR (p&lt;0.001), and the LSTM+GAT has a lower QLIKE (p&lt;0.001) and lower</w:t>
      </w:r>
      <w:r>
        <w:t xml:space="preserve"> </w:t>
      </w:r>
      <w:r>
        <w:t xml:space="preserve">squared error (p=0.003) than the no-graph LSTM.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VN30 h5.</w:t>
      </w:r>
      <w:r>
        <w:t xml:space="preserve"> </w:t>
      </w:r>
      <w:r>
        <w:t xml:space="preserve">HAR has the lowest value on all five metrics. By DM, the LSTM has a higher QLIKE (p=0.037) and</w:t>
      </w:r>
      <w:r>
        <w:t xml:space="preserve"> </w:t>
      </w:r>
      <w:r>
        <w:t xml:space="preserve">higher MAE (p&lt;0.001) than HAR, and the LSTM+GAT has a lower QLIKE than the LSTM (p=0.031).</w:t>
      </w:r>
    </w:p>
    <w:p>
      <w:pPr>
        <w:pStyle w:val="FirstParagraph"/>
      </w:pPr>
      <w:r>
        <w:t xml:space="preserve">Across the four short-horizon cells, no learned model has a significantly lower QLIKE than HAR; the LSTM+GAT</w:t>
      </w:r>
      <w:r>
        <w:t xml:space="preserve"> </w:t>
      </w:r>
      <w:r>
        <w:t xml:space="preserve">has a significantly lower QLIKE than the no-graph LSTM in all four (VN100 h1 p&lt;0.001, h5 p=0.022; VN30 h1</w:t>
      </w:r>
      <w:r>
        <w:t xml:space="preserve"> </w:t>
      </w:r>
      <w:r>
        <w:t xml:space="preserve">p&lt;0.001, h5 p=0.031), and its QLIKE equals HAR’s level at VN100 h5 (0.5690 versus 0.5633) and VN100 h1 (0.5107</w:t>
      </w:r>
      <w:r>
        <w:t xml:space="preserve"> </w:t>
      </w:r>
      <w:r>
        <w:t xml:space="preserve">versus 0.5115).</w:t>
      </w:r>
    </w:p>
    <w:p>
      <w:pPr>
        <w:pStyle w:val="BodyText"/>
      </w:pPr>
      <w:r>
        <w:rPr>
          <w:b/>
          <w:bCs/>
        </w:rPr>
        <w:t xml:space="preserve">Extended-horizon results (h10, h22).</w:t>
      </w:r>
      <w:r>
        <w:t xml:space="preserve"> </w:t>
      </w:r>
      <w:r>
        <w:t xml:space="preserve">HAR has the lowest MSE, RMSE, QLIKE and highest R² on both panels at</w:t>
      </w:r>
      <w:r>
        <w:t xml:space="preserve"> </w:t>
      </w:r>
      <w:r>
        <w:t xml:space="preserve">both horizons; the LSTM has the lowest MAE at VN100 h22 (3.468) and VN30 h10 (2.721), and the LSTM+GAT the</w:t>
      </w:r>
      <w:r>
        <w:t xml:space="preserve"> </w:t>
      </w:r>
      <w:r>
        <w:t xml:space="preserve">lowest MAE at VN100 h10 (3.276). By date-clustered DM, the LSTM+GAT-versus-LSTM QLIKE difference is not</w:t>
      </w:r>
      <w:r>
        <w:t xml:space="preserve"> </w:t>
      </w:r>
      <w:r>
        <w:t xml:space="preserve">significant at h10 or h22 on either panel (p ≥ 0.55); the LSTM has a higher squared error than HAR at VN100</w:t>
      </w:r>
      <w:r>
        <w:t xml:space="preserve"> </w:t>
      </w:r>
      <w:r>
        <w:t xml:space="preserve">h10 (p=0.022) and h22 (p=0.002) and a higher MAE than HAR at VN30 h22 (p=0.001).</w:t>
      </w:r>
      <w:r>
        <w:t xml:space="preserve"> </w:t>
      </w:r>
      <w:r>
        <w:rPr>
          <w:b/>
          <w:bCs/>
        </w:rPr>
        <w:t xml:space="preserve">GARCH benchmark.</w:t>
      </w:r>
      <w:r>
        <w:t xml:space="preserve"> </w:t>
      </w:r>
      <w:r>
        <w:t xml:space="preserve">GARCH(1,1) has a higher MSE, RMSE, MAE and QLIKE and a lower (negative) R² than HAR at every horizon on both panels; its QLIKE is higher than HAR’s under the date-clustered DM test in all eight cells (p&lt;0.001, except VN30 h22 where p=0.001).</w:t>
      </w:r>
    </w:p>
    <w:p>
      <w:r>
        <w:pict>
          <v:rect style="width:0;height:1.5pt" o:hralign="center" o:hrstd="t" o:hr="t"/>
        </w:pict>
      </w:r>
    </w:p>
    <w:bookmarkStart w:id="22" w:name="cross-market-check-sp-500-exploratory"/>
    <w:p>
      <w:pPr>
        <w:pStyle w:val="Heading3"/>
      </w:pPr>
      <w:r>
        <w:t xml:space="preserve">Cross-market check (S&amp;P 500, exploratory)</w:t>
      </w:r>
    </w:p>
    <w:p>
      <w:pPr>
        <w:pStyle w:val="FirstParagraph"/>
      </w:pPr>
      <w:r>
        <w:t xml:space="preserve">As a preliminary out-of-sample check on a larger market, the same masked panel and five features were applied to S&amp;P 500 constituents (442 nodes, 1,624 test dates) with a single seed. HAR here is the same five-feature model as in Tables 1-2; GARCH was not run on this panel.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MSE (x1e-7)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 (x1e-4)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(x1e-4)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QLIKE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6.171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7.856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0.3195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7.850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8.860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0.1344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8.497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9.218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0.0650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-0.0576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9.172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9.577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-0.0080</w:t>
            </w:r>
          </w:p>
        </w:tc>
      </w:tr>
    </w:tbl>
    <w:p>
      <w:pPr>
        <w:pStyle w:val="BodyText"/>
      </w:pPr>
      <w:r>
        <w:t xml:space="preserve">In contrast to the Vietnamese panels, the deep models attain the lowest point error (MSE, RMSE, MAE, R2) from h5 onward. HAR retains the lowest QLIKE at h5, h10 and h22; at h1 the LSTM+GAT has a marginally lower QLIKE. Caveats: single seed; the deep models’ QLIKE at h5-h22 is inflated by the per-node positivity floor at the S&amp;P 500 variance scale, so QLIKE for the deep models here is not yet reliable (a scale-aware floor with multiple seeds is future work).</w:t>
      </w:r>
    </w:p>
    <w:p>
      <w:r>
        <w:pict>
          <v:rect style="width:0;height:1.5pt" o:hralign="center" o:hrstd="t" o:hr="t"/>
        </w:pict>
      </w:r>
    </w:p>
    <w:bookmarkEnd w:id="22"/>
    <w:bookmarkStart w:id="23" w:name="X8f5eb77d63af8174c4dd2cc2808fc6c07cea8db"/>
    <w:p>
      <w:pPr>
        <w:pStyle w:val="Heading3"/>
      </w:pPr>
      <w:r>
        <w:t xml:space="preserve">Output parameterization and QLIKE stability (robustness)</w:t>
      </w:r>
    </w:p>
    <w:p>
      <w:pPr>
        <w:pStyle w:val="FirstParagraph"/>
      </w:pPr>
      <w:r>
        <w:t xml:space="preserve">The deep model’s QLIKE was sensitive to the random seed under the additive standardized-target design with a</w:t>
      </w:r>
      <w:r>
        <w:t xml:space="preserve"> </w:t>
      </w:r>
      <w:r>
        <w:t xml:space="preserve">post-hoc floor. Replacing that target with a node-scaled ratio (the model predicts y_t / mean_i and</w:t>
      </w:r>
      <w:r>
        <w:t xml:space="preserve"> </w:t>
      </w:r>
      <w:r>
        <w:t xml:space="preserve">reconstructs the forecast as the ratio times the training-period node mean) reduces the five-seed QLIKE</w:t>
      </w:r>
      <w:r>
        <w:t xml:space="preserve"> </w:t>
      </w:r>
      <w:r>
        <w:t xml:space="preserve">standard deviation from 0.043 to 0.005 (VN30) and from 0.039 to 0.004 (VN100), with the same linear output</w:t>
      </w:r>
      <w:r>
        <w:t xml:space="preserve"> </w:t>
      </w:r>
      <w:r>
        <w:t xml:space="preserve">and floor — identifying node scaling, rather than the positive output link, as the primary source of</w:t>
      </w:r>
      <w:r>
        <w:t xml:space="preserve"> </w:t>
      </w:r>
      <w:r>
        <w:t xml:space="preserve">stability. Positive links (exponential or softplus) provide smaller additional improvements and remove the</w:t>
      </w:r>
      <w:r>
        <w:t xml:space="preserve"> </w:t>
      </w:r>
      <w:r>
        <w:t xml:space="preserve">post-hoc floor; no statistically significant QLIKE difference was detected between them at the 5% level after</w:t>
      </w:r>
      <w:r>
        <w:t xml:space="preserve"> </w:t>
      </w:r>
      <w:r>
        <w:t xml:space="preserve">bias-matched initialization. HAR retains a lower mean QLIKE, but its advantage over the ratio-parameterized</w:t>
      </w:r>
      <w:r>
        <w:t xml:space="preserve"> </w:t>
      </w:r>
      <w:r>
        <w:t xml:space="preserve">deep model is not statistically significant under the date-clustered DM test (VN30 p=0.29, VN100 p=0.60); a</w:t>
      </w:r>
      <w:r>
        <w:t xml:space="preserve"> </w:t>
      </w:r>
      <w:r>
        <w:t xml:space="preserve">failure to reject does not establish equivalence. This indicates the earlier instability was largely</w:t>
      </w:r>
      <w:r>
        <w:t xml:space="preserve"> </w:t>
      </w:r>
      <w:r>
        <w:t xml:space="preserve">attributable to the target parameterization rather than the forecasting architecture.</w:t>
      </w:r>
    </w:p>
    <w:p>
      <w:pPr>
        <w:pStyle w:val="BodyText"/>
      </w:pPr>
      <w:r>
        <w:rPr>
          <w:b/>
          <w:bCs/>
        </w:rPr>
        <w:t xml:space="preserve">Table. Output-parameterization robustness (LSTM, h5, 5 seeds): QLIKE mean ± std.</w:t>
      </w:r>
      <w:r>
        <w:t xml:space="preserve"> </w:t>
      </w:r>
      <w:r>
        <w:t xml:space="preserve">A: z-score + linear +</w:t>
      </w:r>
      <w:r>
        <w:t xml:space="preserve"> </w:t>
      </w:r>
      <w:r>
        <w:t xml:space="preserve">floor (original); B: ratio + linear + floor; C: ratio + exp (no floor); D: ratio + softplus (no floor). HAR</w:t>
      </w:r>
      <w:r>
        <w:t xml:space="preserve"> </w:t>
      </w:r>
      <w:r>
        <w:t xml:space="preserve">QLIKE is 0.5962 (VN30) and 0.5694 (VN100).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VN30</w:t>
            </w:r>
          </w:p>
        </w:tc>
        <w:tc>
          <w:tcPr/>
          <w:p>
            <w:pPr>
              <w:pStyle w:val="Compact"/>
            </w:pPr>
            <w:r>
              <w:t xml:space="preserve">0.660 ± 0.043</w:t>
            </w:r>
          </w:p>
        </w:tc>
        <w:tc>
          <w:tcPr/>
          <w:p>
            <w:pPr>
              <w:pStyle w:val="Compact"/>
            </w:pPr>
            <w:r>
              <w:t xml:space="preserve">0.613 ± 0.005</w:t>
            </w:r>
          </w:p>
        </w:tc>
        <w:tc>
          <w:tcPr/>
          <w:p>
            <w:pPr>
              <w:pStyle w:val="Compact"/>
            </w:pPr>
            <w:r>
              <w:t xml:space="preserve">0.610 ± 0.002</w:t>
            </w:r>
          </w:p>
        </w:tc>
        <w:tc>
          <w:tcPr/>
          <w:p>
            <w:pPr>
              <w:pStyle w:val="Compact"/>
            </w:pPr>
            <w:r>
              <w:t xml:space="preserve">0.610 ± 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VN100</w:t>
            </w:r>
          </w:p>
        </w:tc>
        <w:tc>
          <w:tcPr/>
          <w:p>
            <w:pPr>
              <w:pStyle w:val="Compact"/>
            </w:pPr>
            <w:r>
              <w:t xml:space="preserve">0.602 ± 0.039</w:t>
            </w:r>
          </w:p>
        </w:tc>
        <w:tc>
          <w:tcPr/>
          <w:p>
            <w:pPr>
              <w:pStyle w:val="Compact"/>
            </w:pPr>
            <w:r>
              <w:t xml:space="preserve">0.572 ± 0.004</w:t>
            </w:r>
          </w:p>
        </w:tc>
        <w:tc>
          <w:tcPr/>
          <w:p>
            <w:pPr>
              <w:pStyle w:val="Compact"/>
            </w:pPr>
            <w:r>
              <w:t xml:space="preserve">0.573 ± 0.003</w:t>
            </w:r>
          </w:p>
        </w:tc>
        <w:tc>
          <w:tcPr/>
          <w:p>
            <w:pPr>
              <w:pStyle w:val="Compact"/>
            </w:pPr>
            <w:r>
              <w:t xml:space="preserve">0.576 ± 0.007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discussion"/>
    <w:p>
      <w:pPr>
        <w:pStyle w:val="Heading2"/>
      </w:pPr>
      <w:r>
        <w:t xml:space="preserve">7. Discussion</w:t>
      </w:r>
    </w:p>
    <w:p>
      <w:pPr>
        <w:pStyle w:val="FirstParagraph"/>
      </w:pPr>
      <w:r>
        <w:t xml:space="preserve">On both panels HAR has the lowest QLIKE at every horizon, and no learned model has a significantly lower QLIKE</w:t>
      </w:r>
      <w:r>
        <w:t xml:space="preserve"> </w:t>
      </w:r>
      <w:r>
        <w:t xml:space="preserve">than HAR under the date-clustered DM test. At h1 and h5 the LSTM and LSTM+GAT have the lowest MAE on VN100</w:t>
      </w:r>
      <w:r>
        <w:t xml:space="preserve"> </w:t>
      </w:r>
      <w:r>
        <w:t xml:space="preserve">(LSTM versus HAR, p&lt;0.001), and the LSTM+GAT has a significantly lower QLIKE and, on VN30, lower squared error</w:t>
      </w:r>
      <w:r>
        <w:t xml:space="preserve"> </w:t>
      </w:r>
      <w:r>
        <w:t xml:space="preserve">than the same-feature no-graph LSTM; at VN100 h1 and VN30 h1 the LSTM+GAT has the lowest value on four or five</w:t>
      </w:r>
      <w:r>
        <w:t xml:space="preserve"> </w:t>
      </w:r>
      <w:r>
        <w:t xml:space="preserve">of the metrics. At h10 and h22 HAR has the lowest MSE, RMSE, QLIKE and R², and the LSTM+GAT-versus-LSTM QLIKE</w:t>
      </w:r>
      <w:r>
        <w:t xml:space="preserve"> </w:t>
      </w:r>
      <w:r>
        <w:t xml:space="preserve">difference is not significant. The graph’s effect on QLIKE relative to the no-graph LSTM is therefore present</w:t>
      </w:r>
      <w:r>
        <w:t xml:space="preserve"> </w:t>
      </w:r>
      <w:r>
        <w:t xml:space="preserve">at the short horizons and absent at the longer horizons; the deep models’ MAE reduction is present at the</w:t>
      </w:r>
      <w:r>
        <w:t xml:space="preserve"> </w:t>
      </w:r>
      <w:r>
        <w:t xml:space="preserve">short horizons on VN100 and reverses at the longer horizons, where their squared error and MAE are higher than</w:t>
      </w:r>
      <w:r>
        <w:t xml:space="preserve"> </w:t>
      </w:r>
      <w:r>
        <w:t xml:space="preserve">HAR’s.</w:t>
      </w:r>
    </w:p>
    <w:p>
      <w:pPr>
        <w:pStyle w:val="BodyText"/>
      </w:pPr>
      <w:r>
        <w:t xml:space="preserve">The ranking is metric- and horizon-dependent, which is why all five metrics are reported with equal weight.</w:t>
      </w:r>
      <w:r>
        <w:t xml:space="preserve"> </w:t>
      </w:r>
      <w:r>
        <w:t xml:space="preserve">The date-clustered DM test matters for these conclusions: a naive per-observation test on this</w:t>
      </w:r>
      <w:r>
        <w:t xml:space="preserve"> </w:t>
      </w:r>
      <w:r>
        <w:t xml:space="preserve">cross-sectionally dependent panel inflates the statistic by a factor on the order of the square root of the</w:t>
      </w:r>
      <w:r>
        <w:t xml:space="preserve"> </w:t>
      </w:r>
      <w:r>
        <w:t xml:space="preserve">cross-section size, so a difference that is not significant per date can appear significant per observation.</w:t>
      </w:r>
    </w:p>
    <w:p>
      <w:r>
        <w:pict>
          <v:rect style="width:0;height:1.5pt" o:hralign="center" o:hrstd="t" o:hr="t"/>
        </w:pict>
      </w:r>
    </w:p>
    <w:bookmarkEnd w:id="25"/>
    <w:bookmarkStart w:id="26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For daily Parkinson-variance forecasting on the Vietnamese market, evaluated with the same features, the same</w:t>
      </w:r>
      <w:r>
        <w:t xml:space="preserve"> </w:t>
      </w:r>
      <w:r>
        <w:t xml:space="preserve">masked panel and the same date-clustered Diebold–Mariano inference, HAR has the lowest QLIKE at</w:t>
      </w:r>
      <w:r>
        <w:t xml:space="preserve"> </w:t>
      </w:r>
      <w:r>
        <w:t xml:space="preserve">every horizon on both panels and no learned model has a significantly lower QLIKE than HAR. At the short</w:t>
      </w:r>
      <w:r>
        <w:t xml:space="preserve"> </w:t>
      </w:r>
      <w:r>
        <w:t xml:space="preserve">horizons (h1, h5) the LSTM and LSTM+GAT have the lowest MAE on VN100, and the directed volume→Parkinson</w:t>
      </w:r>
      <w:r>
        <w:t xml:space="preserve"> </w:t>
      </w:r>
      <w:r>
        <w:t xml:space="preserve">weighted graph gives the LSTM+GAT a significantly lower QLIKE than the same-feature no-graph LSTM in both</w:t>
      </w:r>
      <w:r>
        <w:t xml:space="preserve"> </w:t>
      </w:r>
      <w:r>
        <w:t xml:space="preserve">panels, equal to HAR’s QLIKE level at VN100 h5; at the extended horizons (h10, h22) HAR has the lowest MSE,</w:t>
      </w:r>
      <w:r>
        <w:t xml:space="preserve"> </w:t>
      </w:r>
      <w:r>
        <w:t xml:space="preserve">RMSE, QLIKE and R², and the graph’s QLIKE difference from the no-graph LSTM is not significant. The ranking is</w:t>
      </w:r>
      <w:r>
        <w:t xml:space="preserve"> </w:t>
      </w:r>
      <w:r>
        <w:t xml:space="preserve">metric- and horizon-dependent, so all five metrics are reported with equal weight.</w:t>
      </w:r>
    </w:p>
    <w:p>
      <w:r>
        <w:pict>
          <v:rect style="width:0;height:1.5pt" o:hralign="center" o:hrstd="t" o:hr="t"/>
        </w:pict>
      </w:r>
    </w:p>
    <w:bookmarkEnd w:id="26"/>
    <w:bookmarkStart w:id="2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4"/>
        </w:numPr>
      </w:pPr>
      <w:r>
        <w:t xml:space="preserve">Corsi, F. (2009). A simple approximate long-memory model of realized volatility.</w:t>
      </w:r>
      <w:r>
        <w:t xml:space="preserve"> </w:t>
      </w:r>
      <w:r>
        <w:rPr>
          <w:i/>
          <w:iCs/>
        </w:rPr>
        <w:t xml:space="preserve">Journal of Financial</w:t>
      </w:r>
      <w:r>
        <w:rPr>
          <w:i/>
          <w:iCs/>
        </w:rPr>
        <w:t xml:space="preserve"> </w:t>
      </w:r>
      <w:r>
        <w:rPr>
          <w:i/>
          <w:iCs/>
        </w:rPr>
        <w:t xml:space="preserve">Econometrics</w:t>
      </w:r>
      <w:r>
        <w:t xml:space="preserve">, 7(2), 174–196.</w:t>
      </w:r>
    </w:p>
    <w:p>
      <w:pPr>
        <w:pStyle w:val="Compact"/>
        <w:numPr>
          <w:ilvl w:val="0"/>
          <w:numId w:val="1004"/>
        </w:numPr>
      </w:pPr>
      <w:r>
        <w:t xml:space="preserve">Parkinson, M. (1980). The extreme value method for estimating the variance of the rate of return.</w:t>
      </w:r>
      <w:r>
        <w:t xml:space="preserve"> </w:t>
      </w:r>
      <w:r>
        <w:rPr>
          <w:i/>
          <w:iCs/>
        </w:rPr>
        <w:t xml:space="preserve">The Journal of Business</w:t>
      </w:r>
      <w:r>
        <w:t xml:space="preserve">, 53(1), 61–65.</w:t>
      </w:r>
    </w:p>
    <w:p>
      <w:pPr>
        <w:pStyle w:val="Compact"/>
        <w:numPr>
          <w:ilvl w:val="0"/>
          <w:numId w:val="1004"/>
        </w:numPr>
      </w:pPr>
      <w:r>
        <w:t xml:space="preserve">Hochreiter, S., &amp; Schmidhuber, J. (1997). Long short-term memory.</w:t>
      </w:r>
      <w:r>
        <w:t xml:space="preserve"> </w:t>
      </w:r>
      <w:r>
        <w:rPr>
          <w:i/>
          <w:iCs/>
        </w:rPr>
        <w:t xml:space="preserve">Neural Computation</w:t>
      </w:r>
      <w:r>
        <w:t xml:space="preserve">, 9(8), 1735–1780.</w:t>
      </w:r>
    </w:p>
    <w:p>
      <w:pPr>
        <w:pStyle w:val="Compact"/>
        <w:numPr>
          <w:ilvl w:val="0"/>
          <w:numId w:val="1004"/>
        </w:numPr>
      </w:pPr>
      <w:r>
        <w:t xml:space="preserve">Veličković, P., Cucurull, G., Casanova, A., Romero, A., Liò, P., &amp; Bengio, Y. (2018). Graph attention</w:t>
      </w:r>
      <w:r>
        <w:t xml:space="preserve"> </w:t>
      </w:r>
      <w:r>
        <w:t xml:space="preserve">networks. In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Diebold, F. X., &amp; Mariano, R. S. (1995). Comparing predictive accuracy.</w:t>
      </w:r>
      <w:r>
        <w:t xml:space="preserve"> </w:t>
      </w:r>
      <w:r>
        <w:rPr>
          <w:i/>
          <w:iCs/>
        </w:rPr>
        <w:t xml:space="preserve">Journal of Business &amp; Economic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Statistics</w:t>
      </w:r>
      <w:r>
        <w:t xml:space="preserve">, 13(3), 253–263.</w:t>
      </w:r>
    </w:p>
    <w:p>
      <w:pPr>
        <w:pStyle w:val="Compact"/>
        <w:numPr>
          <w:ilvl w:val="0"/>
          <w:numId w:val="1004"/>
        </w:numPr>
      </w:pPr>
      <w:r>
        <w:t xml:space="preserve">Harvey, D., Leybourne, S., &amp; Newbold, P. (1997). Testing the equality of prediction mean squared errors.</w:t>
      </w:r>
      <w:r>
        <w:t xml:space="preserve"> </w:t>
      </w:r>
      <w:r>
        <w:rPr>
          <w:i/>
          <w:iCs/>
        </w:rPr>
        <w:t xml:space="preserve">International Journal of Forecasting</w:t>
      </w:r>
      <w:r>
        <w:t xml:space="preserve">, 13(2), 281–291.</w:t>
      </w:r>
    </w:p>
    <w:p>
      <w:pPr>
        <w:pStyle w:val="Compact"/>
        <w:numPr>
          <w:ilvl w:val="0"/>
          <w:numId w:val="1004"/>
        </w:numPr>
      </w:pPr>
      <w:r>
        <w:t xml:space="preserve">Patton, A. J. (2011). Volatility forecast comparison using imperfect volatility proxies.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Econometrics</w:t>
      </w:r>
      <w:r>
        <w:t xml:space="preserve">, 160(1), 246–256.</w:t>
      </w:r>
    </w:p>
    <w:p>
      <w:pPr>
        <w:pStyle w:val="Compact"/>
        <w:numPr>
          <w:ilvl w:val="0"/>
          <w:numId w:val="1004"/>
        </w:numPr>
      </w:pPr>
      <w:r>
        <w:t xml:space="preserve">Bollerslev, T., Patton, A. J., &amp; Quaedvlieg, R. (2016). Exploiting the errors: a simple approach for</w:t>
      </w:r>
      <w:r>
        <w:t xml:space="preserve"> </w:t>
      </w:r>
      <w:r>
        <w:t xml:space="preserve">improved volatility forecasting (HARQ).</w:t>
      </w:r>
      <w:r>
        <w:t xml:space="preserve"> </w:t>
      </w:r>
      <w:r>
        <w:rPr>
          <w:i/>
          <w:iCs/>
        </w:rPr>
        <w:t xml:space="preserve">Journal of Econometrics</w:t>
      </w:r>
      <w:r>
        <w:t xml:space="preserve">, 192(1), 1–18.</w:t>
      </w:r>
    </w:p>
    <w:p>
      <w:pPr>
        <w:pStyle w:val="Compact"/>
        <w:numPr>
          <w:ilvl w:val="0"/>
          <w:numId w:val="1004"/>
        </w:numPr>
      </w:pPr>
      <w:r>
        <w:t xml:space="preserve">Diebold, F. X., &amp; Yilmaz, K. (2012). Better to give than to receive: predictive directional measurement</w:t>
      </w:r>
      <w:r>
        <w:t xml:space="preserve"> </w:t>
      </w:r>
      <w:r>
        <w:t xml:space="preserve">of volatility spillovers.</w:t>
      </w:r>
      <w:r>
        <w:t xml:space="preserve"> </w:t>
      </w:r>
      <w:r>
        <w:rPr>
          <w:i/>
          <w:iCs/>
        </w:rPr>
        <w:t xml:space="preserve">International Journal of Forecasting</w:t>
      </w:r>
      <w:r>
        <w:t xml:space="preserve">, 28(1), 57–66.</w:t>
      </w:r>
    </w:p>
    <w:p>
      <w:pPr>
        <w:pStyle w:val="Compact"/>
        <w:numPr>
          <w:ilvl w:val="0"/>
          <w:numId w:val="1004"/>
        </w:numPr>
      </w:pPr>
      <w:r>
        <w:t xml:space="preserve">Chen, Q., &amp; Robert, C.-Y. (2022). Multivariate realized volatility forecasting with graph neural</w:t>
      </w:r>
      <w:r>
        <w:t xml:space="preserve"> </w:t>
      </w:r>
      <w:r>
        <w:t xml:space="preserve">network. In</w:t>
      </w:r>
      <w:r>
        <w:t xml:space="preserve"> </w:t>
      </w:r>
      <w:r>
        <w:rPr>
          <w:i/>
          <w:iCs/>
        </w:rPr>
        <w:t xml:space="preserve">ACM ICAIF</w:t>
      </w:r>
      <w:r>
        <w:t xml:space="preserve">. arXiv:2112.09015.</w:t>
      </w:r>
    </w:p>
    <w:p>
      <w:pPr>
        <w:pStyle w:val="Compact"/>
        <w:numPr>
          <w:ilvl w:val="0"/>
          <w:numId w:val="1004"/>
        </w:numPr>
      </w:pPr>
      <w:r>
        <w:t xml:space="preserve">Zhang, C., Pu, X., Cucuringu, M., &amp; Dong, X. (2025). Forecasting realized volatility with spillover</w:t>
      </w:r>
      <w:r>
        <w:t xml:space="preserve"> </w:t>
      </w:r>
      <w:r>
        <w:t xml:space="preserve">effects: perspectives from graph neural networks (GNNHAR). arXiv:2308.01419.</w:t>
      </w:r>
    </w:p>
    <w:p>
      <w:pPr>
        <w:pStyle w:val="Compact"/>
        <w:numPr>
          <w:ilvl w:val="0"/>
          <w:numId w:val="1004"/>
        </w:numPr>
      </w:pPr>
      <w:r>
        <w:t xml:space="preserve">Audrino, F., &amp; Chassot, J. (2025). HARd to beat: the overlooked impact of rolling windows in the era of</w:t>
      </w:r>
      <w:r>
        <w:t xml:space="preserve"> </w:t>
      </w:r>
      <w:r>
        <w:t xml:space="preserve">machine learning.</w:t>
      </w:r>
      <w:r>
        <w:t xml:space="preserve"> </w:t>
      </w:r>
      <w:r>
        <w:rPr>
          <w:i/>
          <w:iCs/>
        </w:rPr>
        <w:t xml:space="preserve">International Journal of Forecasting</w:t>
      </w:r>
      <w:r>
        <w:t xml:space="preserve">. arXiv:2406.08041.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Figure 1 appears in Section 3.2. Vector 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docs/paper/diagrams/soict_harlstmgat.svg</w:t>
      </w:r>
      <w:r>
        <w:rPr>
          <w:i/>
          <w:iCs/>
        </w:rPr>
        <w:t xml:space="preserve">; PDF/PNG</w:t>
      </w:r>
      <w:r>
        <w:rPr>
          <w:i/>
          <w:iCs/>
        </w:rPr>
        <w:t xml:space="preserve"> </w:t>
      </w:r>
      <w:r>
        <w:rPr>
          <w:i/>
          <w:iCs/>
        </w:rPr>
        <w:t xml:space="preserve">rendered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diagrams/generate_arch.py</w:t>
      </w:r>
      <w:r>
        <w:rPr>
          <w:i/>
          <w:iCs/>
        </w:rPr>
        <w:t xml:space="preserve">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2026-08-22T16:10:07Z</dcterms:created>
  <dcterms:modified xsi:type="dcterms:W3CDTF">2026-08-22T16:10:07Z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