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3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Start w:id="22" w:name="x-cross-market-check-sp-500-exploratory"/>
    <w:p>
      <w:pPr>
        <w:pStyle w:val="Heading3"/>
      </w:pPr>
      <w:r>
        <w:t xml:space="preserve">6.x Cross-market check (S&amp;P 500, exploratory)</w:t>
      </w:r>
    </w:p>
    <w:p>
      <w:pPr>
        <w:pStyle w:val="FirstParagraph"/>
      </w:pPr>
      <w:r>
        <w:t xml:space="preserve">As a preliminary out-of-sample check on a larger market, the same masked panel and five features were applied to S&amp;P 500 constituents (442 nodes, 1,624 test dates) with a single seed. HAR here is the same five-feature model as in Tables 1-2; GARCH was not run on this panel.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(x1e-7)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-0.0080</w:t>
            </w:r>
          </w:p>
        </w:tc>
      </w:tr>
    </w:tbl>
    <w:p>
      <w:pPr>
        <w:pStyle w:val="BodyText"/>
      </w:pPr>
      <w:r>
        <w:t xml:space="preserve">In contrast to the Vietnamese panels, the deep models attain the lowest point error (MSE, RMSE, MAE, R2) from h5 onward. HAR retains the lowest QLIKE at h5, h10 and h22; at h1 the LSTM+GAT has a marginally lower QLIKE. Caveats: single seed; the deep models’ QLIKE at h5-h22 is inflated by the per-node positivity floor at the S&amp;P 500 variance scale, so QLIKE for the deep models here is not yet reliable (a scale-aware floor with multiple seeds is future work).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4"/>
    <w:bookmarkStart w:id="25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2026-08-22T06:51:47Z</dcterms:created>
  <dcterms:modified xsi:type="dcterms:W3CDTF">2026-08-22T06:51:47Z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