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model, extended to five features (HAR-X),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HAR-X,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HAR-X has the</w:t>
      </w:r>
      <w:r>
        <w:t xml:space="preserve"> </w:t>
      </w:r>
      <w:r>
        <w:t xml:space="preserve">lowest QLIKE on both panels at every horizon, and no learned model has a significantly lower QLIKE than HAR-X</w:t>
      </w:r>
      <w:r>
        <w:t xml:space="preserve"> </w:t>
      </w:r>
      <w:r>
        <w:t xml:space="preserve">(date-clustered DM, p ≥ 0.05). At h1 and h5 the deep models have the lowest MAE on VN100 (LSTM versus HAR-X,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HAR-X’s QLIKE level at VN100 h5 (0.5690 versus</w:t>
      </w:r>
      <w:r>
        <w:t xml:space="preserve"> </w:t>
      </w:r>
      <w:r>
        <w:t xml:space="preserve">0.5633). At h10 and h22 HAR-X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HAR-X.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HAR-X,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HAR-X,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HAR-X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HAR-X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(HAR-X,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median of the square-root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HAR-X</w:t>
      </w:r>
      <w:r>
        <w:t xml:space="preserve"> </w:t>
      </w:r>
      <w:r>
        <w:t xml:space="preserve">(baseline): pooled ordinary-least-squares regression on the five features (the HAR cascade augmented with a market Parkinson factor and a volume z-score),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HAR-X,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HAR-X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HAR-X,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HAR-X,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HAR-X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-3.8618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HAR-X,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HAR-X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HAR-X (p&lt;0.001), the LSTM has a higher</w:t>
      </w:r>
      <w:r>
        <w:t xml:space="preserve"> </w:t>
      </w:r>
      <w:r>
        <w:t xml:space="preserve">QLIKE than HAR-X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HAR-X has the lowest MSE, RMSE, QLIKE and highest R²; the LSTM has the lowest MAE (3.090). By DM,</w:t>
      </w:r>
      <w:r>
        <w:t xml:space="preserve"> </w:t>
      </w:r>
      <w:r>
        <w:t xml:space="preserve">the LSTM has a lower MAE than HAR-X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HAR-X has the lowest QLIKE (0.5159). By</w:t>
      </w:r>
      <w:r>
        <w:t xml:space="preserve"> </w:t>
      </w:r>
      <w:r>
        <w:t xml:space="preserve">DM, the LSTM has a higher QLIKE than HAR-X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HAR-X has the lowest value on all five metrics. By DM, the LSTM has a higher QLIKE (p=0.037) and</w:t>
      </w:r>
      <w:r>
        <w:t xml:space="preserve"> </w:t>
      </w:r>
      <w:r>
        <w:t xml:space="preserve">higher MAE (p&lt;0.001) than HAR-X,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HAR-X;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HAR-X’s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HAR-X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HAR-X at VN100</w:t>
      </w:r>
      <w:r>
        <w:t xml:space="preserve"> </w:t>
      </w:r>
      <w:r>
        <w:t xml:space="preserve">h10 (p=0.022) and h22 (p=0.002) and a higher MAE than HAR-X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HAR-X at every horizon on both panels; its QLIKE is higher than HAR-X-X’s under the date-clustered DM test in all eight cells (p&lt;0.001, except VN30 h22 where p=0.001). GARCH is a frozen-train forecast that converges to the unconditional variance, so its point error is large on VN100 where the volatility level shifts between train and test.</w:t>
      </w:r>
    </w:p>
    <w:p>
      <w:r>
        <w:pict>
          <v:rect style="width:0;height:1.5pt" o:hralign="center" o:hrstd="t" o:hr="t"/>
        </w:pict>
      </w:r>
    </w:p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HAR-X has the lowest QLIKE at every horizon, and no learned model has a significantly lower QLIKE</w:t>
      </w:r>
      <w:r>
        <w:t xml:space="preserve"> </w:t>
      </w:r>
      <w:r>
        <w:t xml:space="preserve">than HAR-X under the date-clustered DM test. At h1 and h5 the LSTM and LSTM+GAT have the lowest MAE on VN100</w:t>
      </w:r>
      <w:r>
        <w:t xml:space="preserve"> </w:t>
      </w:r>
      <w:r>
        <w:t xml:space="preserve">(LSTM versus HAR-X,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HAR-X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HAR-X’s.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3"/>
    <w:bookmarkStart w:id="2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HAR-X has the lowest QLIKE at</w:t>
      </w:r>
      <w:r>
        <w:t xml:space="preserve"> </w:t>
      </w:r>
      <w:r>
        <w:t xml:space="preserve">every horizon on both panels and no learned model has a significantly lower QLIKE than HAR-X.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HAR-X’s QLIKE level at VN100 h5; at the extended horizons (h10, h22) HAR-X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2026-08-22T16:39:48Z</dcterms:created>
  <dcterms:modified xsi:type="dcterms:W3CDTF">2026-08-22T16:39:48Z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