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99999" w:sz="6" w:space="8"/>
        </w:pBdr>
        <w:spacing w:after="240"/>
        <w:jc w:val="left"/>
      </w:pPr>
      <w:r>
        <w:rPr>
          <w:rFonts w:ascii="Times New Roman" w:cs="Times New Roman" w:eastAsia="Times New Roman" w:hAnsi="Times New Roman"/>
          <w:i/>
          <w:iCs/>
          <w:color w:val="555555"/>
          <w:sz w:val="20"/>
          <w:szCs w:val="20"/>
        </w:rPr>
        <w:t xml:space="preserve">Paper 3 — Section 1: Introduction (draft 4, 28 September 2026)</w:t>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Problem statement and importance</w:t>
      </w:r>
    </w:p>
    <w:p>
      <w:pPr>
        <w:spacing w:after="140" w:line="288"/>
        <w:jc w:val="both"/>
      </w:pPr>
      <w:r>
        <w:rPr>
          <w:rFonts w:ascii="Times New Roman" w:cs="Times New Roman" w:eastAsia="Times New Roman" w:hAnsi="Times New Roman"/>
          <w:sz w:val="22"/>
          <w:szCs w:val="22"/>
        </w:rPr>
        <w:t xml:space="preserve">Autonomous surface vessels (ASVs) are approaching routine operation </w:t>
      </w:r>
      <w:r>
        <w:rPr>
          <w:rFonts w:ascii="Times New Roman" w:cs="Times New Roman" w:eastAsia="Times New Roman" w:hAnsi="Times New Roman"/>
          <w:sz w:val="22"/>
          <w:szCs w:val="22"/>
        </w:rPr>
        <w:t xml:space="preserve">(Negenborn et al., 2023)</w:t>
      </w:r>
      <w:r>
        <w:rPr>
          <w:rFonts w:ascii="Times New Roman" w:cs="Times New Roman" w:eastAsia="Times New Roman" w:hAnsi="Times New Roman"/>
          <w:sz w:val="22"/>
          <w:szCs w:val="22"/>
        </w:rPr>
        <w:t xml:space="preserve">, and much of that operation will take place in ports, rivers, and other restricted waterways. There, an ASV must follow a prescribed route while maintaining clearance from navigable boundaries, fixed hazards, and surrounding traffic. These requirements are closely coupled: an avoidance maneuver changes the vessel's path-following error, whereas strict route tracking can prevent timely collision avoidance. Confinement further limits the available response, because a course alteration that provides adequate passing distance in open water may be obstructed by a bank, a wall, or a stationary object. Research on restricted-water trajectory planning and inland-waterway navigation therefore treats maneuvering space as an integral part of the navigation problem rather than as a secondary environmental constraint </w:t>
      </w:r>
      <w:r>
        <w:rPr>
          <w:rFonts w:ascii="Times New Roman" w:cs="Times New Roman" w:eastAsia="Times New Roman" w:hAnsi="Times New Roman"/>
          <w:sz w:val="22"/>
          <w:szCs w:val="22"/>
        </w:rPr>
        <w:t xml:space="preserve">(Thyri and Breivik, 2022; Paulig and Okhrin, 2024; Waltz et al., 2025; He et al., 2025)</w:t>
      </w:r>
      <w:r>
        <w:rPr>
          <w:rFonts w:ascii="Times New Roman" w:cs="Times New Roman" w:eastAsia="Times New Roman" w:hAnsi="Times New Roman"/>
          <w:sz w:val="22"/>
          <w:szCs w:val="22"/>
        </w:rPr>
        <w:t xml:space="preserve">.</w:t>
      </w:r>
    </w:p>
    <w:p>
      <w:pPr>
        <w:spacing w:after="140" w:line="288"/>
        <w:jc w:val="both"/>
      </w:pPr>
      <w:r>
        <w:rPr>
          <w:rFonts w:ascii="Times New Roman" w:cs="Times New Roman" w:eastAsia="Times New Roman" w:hAnsi="Times New Roman"/>
          <w:sz w:val="22"/>
          <w:szCs w:val="22"/>
        </w:rPr>
        <w:t xml:space="preserve">Safe navigation also requires behavior consistent with the International Regulations for Preventing Collisions at Sea (COLREGs). The encounter-specific requirements for overtaking, head-on, and crossing situations interact with the general requirements for timely and readily apparent action and, where applicable, with narrow-channel navigation. Rule 8 explicitly recognizes both course and speed changes, whereas Rule 9 introduces channel-keeping and conditional duties not to impede other vessels. These provisions cannot be reduced to an unconditional preference for turning to one side: the appropriate response depends on the encounter, the vessels' obligations, and the space available. Moreover, a duty not to impede does not remove either vessel's collision-avoidance obligations once risk of collision develops </w:t>
      </w:r>
      <w:r>
        <w:rPr>
          <w:rFonts w:ascii="Times New Roman" w:cs="Times New Roman" w:eastAsia="Times New Roman" w:hAnsi="Times New Roman"/>
          <w:sz w:val="22"/>
          <w:szCs w:val="22"/>
        </w:rPr>
        <w:t xml:space="preserve">(IMO, 1972, Rules 8–9)</w:t>
      </w:r>
      <w:r>
        <w:rPr>
          <w:rFonts w:ascii="Times New Roman" w:cs="Times New Roman" w:eastAsia="Times New Roman" w:hAnsi="Times New Roman"/>
          <w:sz w:val="22"/>
          <w:szCs w:val="22"/>
        </w:rPr>
        <w:t xml:space="preserve">. Because the rules were written for human mariners, expressing them in algorithmic form requires interpretive choices about angles, distances, and timing, and recent analyses identify those choices as a recurring source of error </w:t>
      </w:r>
      <w:r>
        <w:rPr>
          <w:rFonts w:ascii="Times New Roman" w:cs="Times New Roman" w:eastAsia="Times New Roman" w:hAnsi="Times New Roman"/>
          <w:sz w:val="22"/>
          <w:szCs w:val="22"/>
        </w:rPr>
        <w:t xml:space="preserve">(García Maza and Poo Argüelles, 2022; Hagen et al., 2023; Sánchez-González et al., 2026)</w:t>
      </w:r>
      <w:r>
        <w:rPr>
          <w:rFonts w:ascii="Times New Roman" w:cs="Times New Roman" w:eastAsia="Times New Roman" w:hAnsi="Times New Roman"/>
          <w:sz w:val="22"/>
          <w:szCs w:val="22"/>
        </w:rPr>
        <w:t xml:space="preserve">.</w:t>
      </w:r>
    </w:p>
    <w:p>
      <w:pPr>
        <w:spacing w:after="140" w:line="288"/>
        <w:jc w:val="both"/>
      </w:pPr>
      <w:r>
        <w:rPr>
          <w:rFonts w:ascii="Times New Roman" w:cs="Times New Roman" w:eastAsia="Times New Roman" w:hAnsi="Times New Roman"/>
          <w:sz w:val="22"/>
          <w:szCs w:val="22"/>
        </w:rPr>
        <w:t xml:space="preserve">Perception introduces an additional difficulty. Target position, course, and speed must be estimated before collision risk and encounter type can be assessed. When these quantities are inferred from onboard light detection and ranging (LiDAR), their reliability depends on detection, motion discrimination, association, and tracking, and field studies of maritime tracking show that environment-specific detection problems preclude reliance on any single sensor </w:t>
      </w:r>
      <w:r>
        <w:rPr>
          <w:rFonts w:ascii="Times New Roman" w:cs="Times New Roman" w:eastAsia="Times New Roman" w:hAnsi="Times New Roman"/>
          <w:sz w:val="22"/>
          <w:szCs w:val="22"/>
        </w:rPr>
        <w:t xml:space="preserve">(Helgesen et al., 2022)</w:t>
      </w:r>
      <w:r>
        <w:rPr>
          <w:rFonts w:ascii="Times New Roman" w:cs="Times New Roman" w:eastAsia="Times New Roman" w:hAnsi="Times New Roman"/>
          <w:sz w:val="22"/>
          <w:szCs w:val="22"/>
        </w:rPr>
        <w:t xml:space="preserve">. An occluded or poorly tracked vessel can therefore affect not only the predicted passing distance but also the encounter classification used to select an avoidance response. Navigable limits differ in kind: dredged-channel edges, depth contours, and regulatory boundaries are generally not observable with range sensors and are taken from charts. Recent sensor-driven learning studies demonstrate that perception and control can be integrated </w:t>
      </w:r>
      <w:r>
        <w:rPr>
          <w:rFonts w:ascii="Times New Roman" w:cs="Times New Roman" w:eastAsia="Times New Roman" w:hAnsi="Times New Roman"/>
          <w:sz w:val="22"/>
          <w:szCs w:val="22"/>
        </w:rPr>
        <w:t xml:space="preserve">(Lin et al., 2025; Wu et al., 2025a)</w:t>
      </w:r>
      <w:r>
        <w:rPr>
          <w:rFonts w:ascii="Times New Roman" w:cs="Times New Roman" w:eastAsia="Times New Roman" w:hAnsi="Times New Roman"/>
          <w:sz w:val="22"/>
          <w:szCs w:val="22"/>
        </w:rPr>
        <w:t xml:space="preserve">, but they also motivate evaluating the entire sensing-to-action chain rather than an avoidance policy supplied with idealized target states.</w:t>
      </w:r>
    </w:p>
    <w:p>
      <w:pPr>
        <w:spacing w:after="140" w:line="288"/>
        <w:jc w:val="both"/>
      </w:pPr>
      <w:r>
        <w:rPr>
          <w:rFonts w:ascii="Times New Roman" w:cs="Times New Roman" w:eastAsia="Times New Roman" w:hAnsi="Times New Roman"/>
          <w:sz w:val="22"/>
          <w:szCs w:val="22"/>
        </w:rPr>
        <w:t xml:space="preserve">This paper considers the resulting combined problem: path following, static-obstacle avoidance, and rule-aware maneuvering during a two-vessel encounter in laterally bounded water. A representative application is the execution of an individual survey leg within an allocated operating corridor; port and channel transits provide related geometric settings. Such operational bounds motivate the navigation problem but are not, by themselves, assumed to establish the legal applicability of Rule 9. The study uses model-scale basin and channel environments, based on the basin in which the authors' previous static-obstacle policy was tested </w:t>
      </w:r>
      <w:r>
        <w:rPr>
          <w:rFonts w:ascii="Times New Roman" w:cs="Times New Roman" w:eastAsia="Times New Roman" w:hAnsi="Times New Roman"/>
          <w:sz w:val="22"/>
          <w:szCs w:val="22"/>
        </w:rPr>
        <w:t xml:space="preserve">(Tran et al., 2026)</w:t>
      </w:r>
      <w:r>
        <w:rPr>
          <w:rFonts w:ascii="Times New Roman" w:cs="Times New Roman" w:eastAsia="Times New Roman" w:hAnsi="Times New Roman"/>
          <w:sz w:val="22"/>
          <w:szCs w:val="22"/>
        </w:rPr>
        <w:t xml:space="preserve">, to examine how sensed encounters and limited maneuvering room jointly influence learned behavior.</w:t>
      </w:r>
    </w:p>
    <w:p>
      <w:pPr>
        <w:pStyle w:val="Heading2"/>
      </w:pPr>
      <w:r>
        <w:rPr>
          <w:rFonts w:ascii="Times New Roman" w:cs="Times New Roman" w:eastAsia="Times New Roman" w:hAnsi="Times New Roman"/>
        </w:rPr>
        <w:t xml:space="preserve">1.2. Literature review</w:t>
      </w:r>
    </w:p>
    <w:p>
      <w:pPr>
        <w:spacing w:after="140" w:line="288"/>
        <w:jc w:val="both"/>
      </w:pPr>
      <w:r>
        <w:rPr>
          <w:rFonts w:ascii="Times New Roman" w:cs="Times New Roman" w:eastAsia="Times New Roman" w:hAnsi="Times New Roman"/>
          <w:sz w:val="22"/>
          <w:szCs w:val="22"/>
        </w:rPr>
        <w:t xml:space="preserve">The review follows the elements of this combined problem: classical and explicitly constrained collision avoidance, which motivates learning-based alternatives and supplies the nonlearned comparators used here (Section 1.2.1); deep reinforcement learning for COLREGs-aware navigation (Section 1.2.2); restricted and inland waterways (Section 1.2.3); onboard sensing and physical validation (Section 1.2.4); and evaluation practice (Section 1.2.5). Broader surveys of maritime collision avoidance, path planning, and learning-based navigation provide complementary coverage </w:t>
      </w:r>
      <w:r>
        <w:rPr>
          <w:rFonts w:ascii="Times New Roman" w:cs="Times New Roman" w:eastAsia="Times New Roman" w:hAnsi="Times New Roman"/>
          <w:sz w:val="22"/>
          <w:szCs w:val="22"/>
        </w:rPr>
        <w:t xml:space="preserve">(Huang et al., 2020; Burmeister and Constapel, 2021; Öztürk et al., 2022; Qiao et al., 2023; Wu et al., 2025b)</w:t>
      </w:r>
      <w:r>
        <w:rPr>
          <w:rFonts w:ascii="Times New Roman" w:cs="Times New Roman" w:eastAsia="Times New Roman" w:hAnsi="Times New Roman"/>
          <w:sz w:val="22"/>
          <w:szCs w:val="22"/>
        </w:rPr>
        <w:t xml:space="preserve">.</w:t>
      </w:r>
    </w:p>
    <w:p>
      <w:pPr>
        <w:pStyle w:val="Heading3"/>
      </w:pPr>
      <w:r>
        <w:rPr>
          <w:rFonts w:ascii="Times New Roman" w:cs="Times New Roman" w:eastAsia="Times New Roman" w:hAnsi="Times New Roman"/>
        </w:rPr>
        <w:t xml:space="preserve">1.2.1. Classical and explicitly constrained collision avoidance</w:t>
      </w:r>
    </w:p>
    <w:p>
      <w:pPr>
        <w:spacing w:after="140" w:line="288"/>
        <w:jc w:val="both"/>
      </w:pPr>
      <w:r>
        <w:rPr>
          <w:rFonts w:ascii="Times New Roman" w:cs="Times New Roman" w:eastAsia="Times New Roman" w:hAnsi="Times New Roman"/>
          <w:sz w:val="22"/>
          <w:szCs w:val="22"/>
        </w:rPr>
        <w:t xml:space="preserve">Classical maritime collision-avoidance methods translate relative motion and encounter obligations into feasible actions through explicit models. Velocity-obstacle (VO) methods represent the set of own-ship velocities that would lead to collision within a time horizon and select a velocity outside that set; </w:t>
      </w:r>
      <w:r>
        <w:rPr>
          <w:rFonts w:ascii="Times New Roman" w:cs="Times New Roman" w:eastAsia="Times New Roman" w:hAnsi="Times New Roman"/>
          <w:sz w:val="22"/>
          <w:szCs w:val="22"/>
        </w:rPr>
        <w:t xml:space="preserve">Kuwata et al. (2014)</w:t>
      </w:r>
      <w:r>
        <w:rPr>
          <w:rFonts w:ascii="Times New Roman" w:cs="Times New Roman" w:eastAsia="Times New Roman" w:hAnsi="Times New Roman"/>
          <w:sz w:val="22"/>
          <w:szCs w:val="22"/>
        </w:rPr>
        <w:t xml:space="preserve"> added COLREGs constraints that exclude velocities inconsistent with the required passing behavior, and later generalizations relaxed assumptions such as constant target velocity and simplified ship dynamics </w:t>
      </w:r>
      <w:r>
        <w:rPr>
          <w:rFonts w:ascii="Times New Roman" w:cs="Times New Roman" w:eastAsia="Times New Roman" w:hAnsi="Times New Roman"/>
          <w:sz w:val="22"/>
          <w:szCs w:val="22"/>
        </w:rPr>
        <w:t xml:space="preserve">(Huang et al., 2019)</w:t>
      </w:r>
      <w:r>
        <w:rPr>
          <w:rFonts w:ascii="Times New Roman" w:cs="Times New Roman" w:eastAsia="Times New Roman" w:hAnsi="Times New Roman"/>
          <w:sz w:val="22"/>
          <w:szCs w:val="22"/>
        </w:rPr>
        <w:t xml:space="preserve">. The dynamic window approach (DWA) instead samples commands that the vehicle can reach within its short-term acceleration limits and scores the resulting trajectories for heading, clearance, and speed </w:t>
      </w:r>
      <w:r>
        <w:rPr>
          <w:rFonts w:ascii="Times New Roman" w:cs="Times New Roman" w:eastAsia="Times New Roman" w:hAnsi="Times New Roman"/>
          <w:sz w:val="22"/>
          <w:szCs w:val="22"/>
        </w:rPr>
        <w:t xml:space="preserve">(Fox et al., 1997)</w:t>
      </w:r>
      <w:r>
        <w:rPr>
          <w:rFonts w:ascii="Times New Roman" w:cs="Times New Roman" w:eastAsia="Times New Roman" w:hAnsi="Times New Roman"/>
          <w:sz w:val="22"/>
          <w:szCs w:val="22"/>
        </w:rPr>
        <w:t xml:space="preserve">; maritime variants add COLREGs-dependent filtering or cost terms and pair the window with a global planner </w:t>
      </w:r>
      <w:r>
        <w:rPr>
          <w:rFonts w:ascii="Times New Roman" w:cs="Times New Roman" w:eastAsia="Times New Roman" w:hAnsi="Times New Roman"/>
          <w:sz w:val="22"/>
          <w:szCs w:val="22"/>
        </w:rPr>
        <w:t xml:space="preserve">(Guan and Wang, 2023; Xu et al., 2024)</w:t>
      </w:r>
      <w:r>
        <w:rPr>
          <w:rFonts w:ascii="Times New Roman" w:cs="Times New Roman" w:eastAsia="Times New Roman" w:hAnsi="Times New Roman"/>
          <w:sz w:val="22"/>
          <w:szCs w:val="22"/>
        </w:rPr>
        <w:t xml:space="preserve">. Artificial potential fields offer a computationally light reactive alternative and remain a common comparator for learned planners </w:t>
      </w:r>
      <w:r>
        <w:rPr>
          <w:rFonts w:ascii="Times New Roman" w:cs="Times New Roman" w:eastAsia="Times New Roman" w:hAnsi="Times New Roman"/>
          <w:sz w:val="22"/>
          <w:szCs w:val="22"/>
        </w:rPr>
        <w:t xml:space="preserve">(Waltz et al., 2025)</w:t>
      </w:r>
      <w:r>
        <w:rPr>
          <w:rFonts w:ascii="Times New Roman" w:cs="Times New Roman" w:eastAsia="Times New Roman" w:hAnsi="Times New Roman"/>
          <w:sz w:val="22"/>
          <w:szCs w:val="22"/>
        </w:rPr>
        <w:t xml:space="preserve">. Model predictive control (MPC) optimizes a trajectory over a receding horizon subject to dynamic and collision constraints. It has been realized as scenario-based behavior selection </w:t>
      </w:r>
      <w:r>
        <w:rPr>
          <w:rFonts w:ascii="Times New Roman" w:cs="Times New Roman" w:eastAsia="Times New Roman" w:hAnsi="Times New Roman"/>
          <w:sz w:val="22"/>
          <w:szCs w:val="22"/>
        </w:rPr>
        <w:t xml:space="preserve">(Johansen et al., 2016)</w:t>
      </w:r>
      <w:r>
        <w:rPr>
          <w:rFonts w:ascii="Times New Roman" w:cs="Times New Roman" w:eastAsia="Times New Roman" w:hAnsi="Times New Roman"/>
          <w:sz w:val="22"/>
          <w:szCs w:val="22"/>
        </w:rPr>
        <w:t xml:space="preserve">, as branching-course MPC verified at sea </w:t>
      </w:r>
      <w:r>
        <w:rPr>
          <w:rFonts w:ascii="Times New Roman" w:cs="Times New Roman" w:eastAsia="Times New Roman" w:hAnsi="Times New Roman"/>
          <w:sz w:val="22"/>
          <w:szCs w:val="22"/>
        </w:rPr>
        <w:t xml:space="preserve">(Eriksen et al., 2019)</w:t>
      </w:r>
      <w:r>
        <w:rPr>
          <w:rFonts w:ascii="Times New Roman" w:cs="Times New Roman" w:eastAsia="Times New Roman" w:hAnsi="Times New Roman"/>
          <w:sz w:val="22"/>
          <w:szCs w:val="22"/>
        </w:rPr>
        <w:t xml:space="preserve">, with encounter-specific target-ship domains and static-obstacle constraints in restricted waters </w:t>
      </w:r>
      <w:r>
        <w:rPr>
          <w:rFonts w:ascii="Times New Roman" w:cs="Times New Roman" w:eastAsia="Times New Roman" w:hAnsi="Times New Roman"/>
          <w:sz w:val="22"/>
          <w:szCs w:val="22"/>
        </w:rPr>
        <w:t xml:space="preserve">(Thyri and Breivik, 2022)</w:t>
      </w:r>
      <w:r>
        <w:rPr>
          <w:rFonts w:ascii="Times New Roman" w:cs="Times New Roman" w:eastAsia="Times New Roman" w:hAnsi="Times New Roman"/>
          <w:sz w:val="22"/>
          <w:szCs w:val="22"/>
        </w:rPr>
        <w:t xml:space="preserve">, with virtual obstacles and spatial–temporal navigation corridors </w:t>
      </w:r>
      <w:r>
        <w:rPr>
          <w:rFonts w:ascii="Times New Roman" w:cs="Times New Roman" w:eastAsia="Times New Roman" w:hAnsi="Times New Roman"/>
          <w:sz w:val="22"/>
          <w:szCs w:val="22"/>
        </w:rPr>
        <w:t xml:space="preserve">(Han et al., 2024)</w:t>
      </w:r>
      <w:r>
        <w:rPr>
          <w:rFonts w:ascii="Times New Roman" w:cs="Times New Roman" w:eastAsia="Times New Roman" w:hAnsi="Times New Roman"/>
          <w:sz w:val="22"/>
          <w:szCs w:val="22"/>
        </w:rPr>
        <w:t xml:space="preserve">, and with COLREGs-governed track constraints validated in towing-tank tests against static and moving obstacles in confined water </w:t>
      </w:r>
      <w:r>
        <w:rPr>
          <w:rFonts w:ascii="Times New Roman" w:cs="Times New Roman" w:eastAsia="Times New Roman" w:hAnsi="Times New Roman"/>
          <w:sz w:val="22"/>
          <w:szCs w:val="22"/>
        </w:rPr>
        <w:t xml:space="preserve">(He et al., 2025)</w:t>
      </w:r>
      <w:r>
        <w:rPr>
          <w:rFonts w:ascii="Times New Roman" w:cs="Times New Roman" w:eastAsia="Times New Roman" w:hAnsi="Times New Roman"/>
          <w:sz w:val="22"/>
          <w:szCs w:val="22"/>
        </w:rPr>
        <w:t xml:space="preserve">.</w:t>
      </w:r>
    </w:p>
    <w:p>
      <w:pPr>
        <w:spacing w:after="140" w:line="288"/>
        <w:jc w:val="both"/>
      </w:pPr>
      <w:r>
        <w:rPr>
          <w:rFonts w:ascii="Times New Roman" w:cs="Times New Roman" w:eastAsia="Times New Roman" w:hAnsi="Times New Roman"/>
          <w:sz w:val="22"/>
          <w:szCs w:val="22"/>
        </w:rPr>
        <w:t xml:space="preserve">These methods are interpretable and, within their assumptions, predictable, but three recurring limitations motivate learning-based alternatives. First, their behavior is governed by cost weights, safety margins, and rule thresholds that must be tuned for each vessel and geometry. </w:t>
      </w:r>
      <w:r>
        <w:rPr>
          <w:rFonts w:ascii="Times New Roman" w:cs="Times New Roman" w:eastAsia="Times New Roman" w:hAnsi="Times New Roman"/>
          <w:sz w:val="22"/>
          <w:szCs w:val="22"/>
        </w:rPr>
        <w:t xml:space="preserve">Guan and Wang (2023)</w:t>
      </w:r>
      <w:r>
        <w:rPr>
          <w:rFonts w:ascii="Times New Roman" w:cs="Times New Roman" w:eastAsia="Times New Roman" w:hAnsi="Times New Roman"/>
          <w:sz w:val="22"/>
          <w:szCs w:val="22"/>
        </w:rPr>
        <w:t xml:space="preserve">, for example, resorted to deep Q-learning to set the weights of a COLREGs-filtered DWA evaluation function, and hand-coded maneuver logic has been criticized for embedding designer bias that can itself violate the rules </w:t>
      </w:r>
      <w:r>
        <w:rPr>
          <w:rFonts w:ascii="Times New Roman" w:cs="Times New Roman" w:eastAsia="Times New Roman" w:hAnsi="Times New Roman"/>
          <w:sz w:val="22"/>
          <w:szCs w:val="22"/>
        </w:rPr>
        <w:t xml:space="preserve">(Sonntag et al., 2025)</w:t>
      </w:r>
      <w:r>
        <w:rPr>
          <w:rFonts w:ascii="Times New Roman" w:cs="Times New Roman" w:eastAsia="Times New Roman" w:hAnsi="Times New Roman"/>
          <w:sz w:val="22"/>
          <w:szCs w:val="22"/>
        </w:rPr>
        <w:t xml:space="preserve">. Second, their guarantees rest on modeling and prediction assumptions. VO formulations commonly assume constant target velocity, simplified dynamics, and two-ship encounters </w:t>
      </w:r>
      <w:r>
        <w:rPr>
          <w:rFonts w:ascii="Times New Roman" w:cs="Times New Roman" w:eastAsia="Times New Roman" w:hAnsi="Times New Roman"/>
          <w:sz w:val="22"/>
          <w:szCs w:val="22"/>
        </w:rPr>
        <w:t xml:space="preserve">(Huang et al., 2019)</w:t>
      </w:r>
      <w:r>
        <w:rPr>
          <w:rFonts w:ascii="Times New Roman" w:cs="Times New Roman" w:eastAsia="Times New Roman" w:hAnsi="Times New Roman"/>
          <w:sz w:val="22"/>
          <w:szCs w:val="22"/>
        </w:rPr>
        <w:t xml:space="preserve">; MPC performance depends on the fidelity of the internal prediction model and on obstacle geometry extracted explicitly from sensor data </w:t>
      </w:r>
      <w:r>
        <w:rPr>
          <w:rFonts w:ascii="Times New Roman" w:cs="Times New Roman" w:eastAsia="Times New Roman" w:hAnsi="Times New Roman"/>
          <w:sz w:val="22"/>
          <w:szCs w:val="22"/>
        </w:rPr>
        <w:t xml:space="preserve">(Gonzalez-Garcia et al., 2022)</w:t>
      </w:r>
      <w:r>
        <w:rPr>
          <w:rFonts w:ascii="Times New Roman" w:cs="Times New Roman" w:eastAsia="Times New Roman" w:hAnsi="Times New Roman"/>
          <w:sz w:val="22"/>
          <w:szCs w:val="22"/>
        </w:rPr>
        <w:t xml:space="preserve">; and reactive potential-field and dynamic-window schemes consider only a short horizon and can stall in local minima when obstacles and boundaries are close </w:t>
      </w:r>
      <w:r>
        <w:rPr>
          <w:rFonts w:ascii="Times New Roman" w:cs="Times New Roman" w:eastAsia="Times New Roman" w:hAnsi="Times New Roman"/>
          <w:sz w:val="22"/>
          <w:szCs w:val="22"/>
        </w:rPr>
        <w:t xml:space="preserve">(Huang et al., 2020; Öztürk et al., 2022)</w:t>
      </w:r>
      <w:r>
        <w:rPr>
          <w:rFonts w:ascii="Times New Roman" w:cs="Times New Roman" w:eastAsia="Times New Roman" w:hAnsi="Times New Roman"/>
          <w:sz w:val="22"/>
          <w:szCs w:val="22"/>
        </w:rPr>
        <w:t xml:space="preserve">. Third, implementing the COLREGs remains error-prone in any algorithmic form: of 855 collision-avoidance publications reviewed by </w:t>
      </w:r>
      <w:r>
        <w:rPr>
          <w:rFonts w:ascii="Times New Roman" w:cs="Times New Roman" w:eastAsia="Times New Roman" w:hAnsi="Times New Roman"/>
          <w:sz w:val="22"/>
          <w:szCs w:val="22"/>
        </w:rPr>
        <w:t xml:space="preserve">Sánchez-González et al. (2026)</w:t>
      </w:r>
      <w:r>
        <w:rPr>
          <w:rFonts w:ascii="Times New Roman" w:cs="Times New Roman" w:eastAsia="Times New Roman" w:hAnsi="Times New Roman"/>
          <w:sz w:val="22"/>
          <w:szCs w:val="22"/>
        </w:rPr>
        <w:t xml:space="preserve">, 464 attempted to implement the rules, none achieved full compliance with the key operational rules, and 29 recurring implementation errors were identified. Deep reinforcement learning does not remove the third difficulty, but it can reduce the first two by learning the response from interaction, including interaction with randomized dynamics and imperfect perception, rather than from tuned rules and an explicit online prediction model.</w:t>
      </w:r>
    </w:p>
    <w:p>
      <w:pPr>
        <w:spacing w:after="140" w:line="288"/>
        <w:jc w:val="both"/>
      </w:pPr>
      <w:r>
        <w:rPr>
          <w:rFonts w:ascii="Times New Roman" w:cs="Times New Roman" w:eastAsia="Times New Roman" w:hAnsi="Times New Roman"/>
          <w:sz w:val="22"/>
          <w:szCs w:val="22"/>
        </w:rPr>
        <w:t xml:space="preserve">A complementary line of work addresses the formal specification and enforcement of navigation rules. </w:t>
      </w:r>
      <w:r>
        <w:rPr>
          <w:rFonts w:ascii="Times New Roman" w:cs="Times New Roman" w:eastAsia="Times New Roman" w:hAnsi="Times New Roman"/>
          <w:sz w:val="22"/>
          <w:szCs w:val="22"/>
        </w:rPr>
        <w:t xml:space="preserve">Krasowski and Althoff (2024)</w:t>
      </w:r>
      <w:r>
        <w:rPr>
          <w:rFonts w:ascii="Times New Roman" w:cs="Times New Roman" w:eastAsia="Times New Roman" w:hAnsi="Times New Roman"/>
          <w:sz w:val="22"/>
          <w:szCs w:val="22"/>
        </w:rPr>
        <w:t xml:space="preserve"> represented selected traffic-rule requirements in temporal logic with a prioritized state-based structure and restricted a reinforcement-learning agent to verified actions, and constraint programming has been used to verify the COLREG safety of collision-avoidance decision logic </w:t>
      </w:r>
      <w:r>
        <w:rPr>
          <w:rFonts w:ascii="Times New Roman" w:cs="Times New Roman" w:eastAsia="Times New Roman" w:hAnsi="Times New Roman"/>
          <w:sz w:val="22"/>
          <w:szCs w:val="22"/>
        </w:rPr>
        <w:t xml:space="preserve">(Vain et al., 2025)</w:t>
      </w:r>
      <w:r>
        <w:rPr>
          <w:rFonts w:ascii="Times New Roman" w:cs="Times New Roman" w:eastAsia="Times New Roman" w:hAnsi="Times New Roman"/>
          <w:sz w:val="22"/>
          <w:szCs w:val="22"/>
        </w:rPr>
        <w:t xml:space="preserve">. Such guarantees hold within the stated specifications and modeling assumptions. They differ fundamentally from encouraging compliance through reward penalties: a reward-based policy may learn a desirable response, but the reward alone does not establish that every executed trajectory satisfies a rule or safety constraint. </w:t>
      </w:r>
      <w:r>
        <w:rPr>
          <w:rFonts w:ascii="Times New Roman" w:cs="Times New Roman" w:eastAsia="Times New Roman" w:hAnsi="Times New Roman"/>
          <w:sz w:val="22"/>
          <w:szCs w:val="22"/>
        </w:rPr>
        <w:t xml:space="preserve">Burmeister and Constapel (2021)</w:t>
      </w:r>
      <w:r>
        <w:rPr>
          <w:rFonts w:ascii="Times New Roman" w:cs="Times New Roman" w:eastAsia="Times New Roman" w:hAnsi="Times New Roman"/>
          <w:sz w:val="22"/>
          <w:szCs w:val="22"/>
        </w:rPr>
        <w:t xml:space="preserve"> likewise identified incomplete rule coverage and the treatment of narrow channels as issues requiring closer attention. These studies motivate explicit reporting of the implemented rule subset and operational assumptions, and a clear separation between learned behavior and externally enforced intervention. They also explain why classical methods remain the natural reference for a learned controller. In this study, a COLREGs-aware VO method following </w:t>
      </w:r>
      <w:r>
        <w:rPr>
          <w:rFonts w:ascii="Times New Roman" w:cs="Times New Roman" w:eastAsia="Times New Roman" w:hAnsi="Times New Roman"/>
          <w:sz w:val="22"/>
          <w:szCs w:val="22"/>
        </w:rPr>
        <w:t xml:space="preserve">Kuwata et al. (2014)</w:t>
      </w:r>
      <w:r>
        <w:rPr>
          <w:rFonts w:ascii="Times New Roman" w:cs="Times New Roman" w:eastAsia="Times New Roman" w:hAnsi="Times New Roman"/>
          <w:sz w:val="22"/>
          <w:szCs w:val="22"/>
        </w:rPr>
        <w:t xml:space="preserve">, an adaptation of it to the narrow-channel convention adopted here, and line-of-sight guidance with a DWA avoidance layer serve as nonlearned comparators that receive the same perception as the learned policies.</w:t>
      </w:r>
    </w:p>
    <w:p>
      <w:pPr>
        <w:pStyle w:val="Heading3"/>
      </w:pPr>
      <w:r>
        <w:rPr>
          <w:rFonts w:ascii="Times New Roman" w:cs="Times New Roman" w:eastAsia="Times New Roman" w:hAnsi="Times New Roman"/>
        </w:rPr>
        <w:t xml:space="preserve">1.2.2. Deep reinforcement learning for path following and COLREGs-aware navigation</w:t>
      </w:r>
    </w:p>
    <w:p>
      <w:pPr>
        <w:spacing w:after="140" w:line="288"/>
        <w:jc w:val="both"/>
      </w:pPr>
      <w:r>
        <w:rPr>
          <w:rFonts w:ascii="Times New Roman" w:cs="Times New Roman" w:eastAsia="Times New Roman" w:hAnsi="Times New Roman"/>
          <w:sz w:val="22"/>
          <w:szCs w:val="22"/>
        </w:rPr>
        <w:t xml:space="preserve">Deep reinforcement learning (DRL) couples guidance and control through a policy optimized for multiple navigation objectives, and it has been applied both to ASV path following </w:t>
      </w:r>
      <w:r>
        <w:rPr>
          <w:rFonts w:ascii="Times New Roman" w:cs="Times New Roman" w:eastAsia="Times New Roman" w:hAnsi="Times New Roman"/>
          <w:sz w:val="22"/>
          <w:szCs w:val="22"/>
        </w:rPr>
        <w:t xml:space="preserve">(Woo et al., 2019; Zhao et al., 2021; Deraj et al., 2023)</w:t>
      </w:r>
      <w:r>
        <w:rPr>
          <w:rFonts w:ascii="Times New Roman" w:cs="Times New Roman" w:eastAsia="Times New Roman" w:hAnsi="Times New Roman"/>
          <w:sz w:val="22"/>
          <w:szCs w:val="22"/>
        </w:rPr>
        <w:t xml:space="preserve"> and to combined path following and collision avoidance. </w:t>
      </w:r>
      <w:r>
        <w:rPr>
          <w:rFonts w:ascii="Times New Roman" w:cs="Times New Roman" w:eastAsia="Times New Roman" w:hAnsi="Times New Roman"/>
          <w:sz w:val="22"/>
          <w:szCs w:val="22"/>
        </w:rPr>
        <w:t xml:space="preserve">Meyer et al. (2020a)</w:t>
      </w:r>
      <w:r>
        <w:rPr>
          <w:rFonts w:ascii="Times New Roman" w:cs="Times New Roman" w:eastAsia="Times New Roman" w:hAnsi="Times New Roman"/>
          <w:sz w:val="22"/>
          <w:szCs w:val="22"/>
        </w:rPr>
        <w:t xml:space="preserve"> demonstrated integrated path following and avoidance of nonmoving obstacles using proximal policy optimization (PPO), with path-relative navigation information and range-based obstacle observations, and a subsequent study extended the combined guidance problem to COLREGs-oriented encounters with other vessels </w:t>
      </w:r>
      <w:r>
        <w:rPr>
          <w:rFonts w:ascii="Times New Roman" w:cs="Times New Roman" w:eastAsia="Times New Roman" w:hAnsi="Times New Roman"/>
          <w:sz w:val="22"/>
          <w:szCs w:val="22"/>
        </w:rPr>
        <w:t xml:space="preserve">(Meyer et al., 2020b)</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Zhao and Roh (2019)</w:t>
      </w:r>
      <w:r>
        <w:rPr>
          <w:rFonts w:ascii="Times New Roman" w:cs="Times New Roman" w:eastAsia="Times New Roman" w:hAnsi="Times New Roman"/>
          <w:sz w:val="22"/>
          <w:szCs w:val="22"/>
        </w:rPr>
        <w:t xml:space="preserve"> addressed multiship collision avoidance; </w:t>
      </w:r>
      <w:r>
        <w:rPr>
          <w:rFonts w:ascii="Times New Roman" w:cs="Times New Roman" w:eastAsia="Times New Roman" w:hAnsi="Times New Roman"/>
          <w:sz w:val="22"/>
          <w:szCs w:val="22"/>
        </w:rPr>
        <w:t xml:space="preserve">Sawada et al. (2021)</w:t>
      </w:r>
      <w:r>
        <w:rPr>
          <w:rFonts w:ascii="Times New Roman" w:cs="Times New Roman" w:eastAsia="Times New Roman" w:hAnsi="Times New Roman"/>
          <w:sz w:val="22"/>
          <w:szCs w:val="22"/>
        </w:rPr>
        <w:t xml:space="preserve"> employed long short-term memory networks and continuous actions with obstacle-zone representations, evaluating learned maneuvers on the Imazu encounter scenarios; and </w:t>
      </w:r>
      <w:r>
        <w:rPr>
          <w:rFonts w:ascii="Times New Roman" w:cs="Times New Roman" w:eastAsia="Times New Roman" w:hAnsi="Times New Roman"/>
          <w:sz w:val="22"/>
          <w:szCs w:val="22"/>
        </w:rPr>
        <w:t xml:space="preserve">Chun et al. (2024)</w:t>
      </w:r>
      <w:r>
        <w:rPr>
          <w:rFonts w:ascii="Times New Roman" w:cs="Times New Roman" w:eastAsia="Times New Roman" w:hAnsi="Times New Roman"/>
          <w:sz w:val="22"/>
          <w:szCs w:val="22"/>
        </w:rPr>
        <w:t xml:space="preserve"> controlled path and speed simultaneously on the same benchmark. </w:t>
      </w:r>
      <w:r>
        <w:rPr>
          <w:rFonts w:ascii="Times New Roman" w:cs="Times New Roman" w:eastAsia="Times New Roman" w:hAnsi="Times New Roman"/>
          <w:sz w:val="22"/>
          <w:szCs w:val="22"/>
        </w:rPr>
        <w:t xml:space="preserve">Heiberg et al. (2022)</w:t>
      </w:r>
      <w:r>
        <w:rPr>
          <w:rFonts w:ascii="Times New Roman" w:cs="Times New Roman" w:eastAsia="Times New Roman" w:hAnsi="Times New Roman"/>
          <w:sz w:val="22"/>
          <w:szCs w:val="22"/>
        </w:rPr>
        <w:t xml:space="preserve"> developed a risk-based implementation of COLREGs within the reward formulation. These studies established the foundations for combining route objectives, encounter information, and sequential decision-making.</w:t>
      </w:r>
    </w:p>
    <w:p>
      <w:pPr>
        <w:spacing w:after="140" w:line="288"/>
        <w:jc w:val="both"/>
      </w:pPr>
      <w:r>
        <w:rPr>
          <w:rFonts w:ascii="Times New Roman" w:cs="Times New Roman" w:eastAsia="Times New Roman" w:hAnsi="Times New Roman"/>
          <w:sz w:val="22"/>
          <w:szCs w:val="22"/>
        </w:rPr>
        <w:t xml:space="preserve">Research since 2023 has refined how collision risk and encounter structure enter the learning problem and has begun to treat safety explicitly. </w:t>
      </w:r>
      <w:r>
        <w:rPr>
          <w:rFonts w:ascii="Times New Roman" w:cs="Times New Roman" w:eastAsia="Times New Roman" w:hAnsi="Times New Roman"/>
          <w:sz w:val="22"/>
          <w:szCs w:val="22"/>
        </w:rPr>
        <w:t xml:space="preserve">Waltz and Okhrin (2023)</w:t>
      </w:r>
      <w:r>
        <w:rPr>
          <w:rFonts w:ascii="Times New Roman" w:cs="Times New Roman" w:eastAsia="Times New Roman" w:hAnsi="Times New Roman"/>
          <w:sz w:val="22"/>
          <w:szCs w:val="22"/>
        </w:rPr>
        <w:t xml:space="preserve"> introduced spatial–temporal recurrent reinforcement learning to handle multiple surrounding vessels, incorporating encounter information and relative-motion features while investigating partial observability, and partially observable multi-ship decision-making has been studied in its own right </w:t>
      </w:r>
      <w:r>
        <w:rPr>
          <w:rFonts w:ascii="Times New Roman" w:cs="Times New Roman" w:eastAsia="Times New Roman" w:hAnsi="Times New Roman"/>
          <w:sz w:val="22"/>
          <w:szCs w:val="22"/>
        </w:rPr>
        <w:t xml:space="preserve">(Zheng et al., 2023)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Lou et al. (2024)</w:t>
      </w:r>
      <w:r>
        <w:rPr>
          <w:rFonts w:ascii="Times New Roman" w:cs="Times New Roman" w:eastAsia="Times New Roman" w:hAnsi="Times New Roman"/>
          <w:sz w:val="22"/>
          <w:szCs w:val="22"/>
        </w:rPr>
        <w:t xml:space="preserve"> balanced safety and efficiency through a two-level incentive reward, </w:t>
      </w:r>
      <w:r>
        <w:rPr>
          <w:rFonts w:ascii="Times New Roman" w:cs="Times New Roman" w:eastAsia="Times New Roman" w:hAnsi="Times New Roman"/>
          <w:sz w:val="22"/>
          <w:szCs w:val="22"/>
        </w:rPr>
        <w:t xml:space="preserve">Yang et al. (2024)</w:t>
      </w:r>
      <w:r>
        <w:rPr>
          <w:rFonts w:ascii="Times New Roman" w:cs="Times New Roman" w:eastAsia="Times New Roman" w:hAnsi="Times New Roman"/>
          <w:sz w:val="22"/>
          <w:szCs w:val="22"/>
        </w:rPr>
        <w:t xml:space="preserve"> combined DRL with velocity obstacles to obtain human-like avoidance, and </w:t>
      </w:r>
      <w:r>
        <w:rPr>
          <w:rFonts w:ascii="Times New Roman" w:cs="Times New Roman" w:eastAsia="Times New Roman" w:hAnsi="Times New Roman"/>
          <w:sz w:val="22"/>
          <w:szCs w:val="22"/>
        </w:rPr>
        <w:t xml:space="preserve">Sonntag et al. (2025)</w:t>
      </w:r>
      <w:r>
        <w:rPr>
          <w:rFonts w:ascii="Times New Roman" w:cs="Times New Roman" w:eastAsia="Times New Roman" w:hAnsi="Times New Roman"/>
          <w:sz w:val="22"/>
          <w:szCs w:val="22"/>
        </w:rPr>
        <w:t xml:space="preserve"> integrated track following with COLREGs-aware avoidance of static and moving obstacles. </w:t>
      </w:r>
      <w:r>
        <w:rPr>
          <w:rFonts w:ascii="Times New Roman" w:cs="Times New Roman" w:eastAsia="Times New Roman" w:hAnsi="Times New Roman"/>
          <w:sz w:val="22"/>
          <w:szCs w:val="22"/>
        </w:rPr>
        <w:t xml:space="preserve">Wang et al. (2024)</w:t>
      </w:r>
      <w:r>
        <w:rPr>
          <w:rFonts w:ascii="Times New Roman" w:cs="Times New Roman" w:eastAsia="Times New Roman" w:hAnsi="Times New Roman"/>
          <w:sz w:val="22"/>
          <w:szCs w:val="22"/>
        </w:rPr>
        <w:t xml:space="preserve"> constrained a hierarchical safe-reinforcement-learning agent by the COLREGs and a risk and reliability critic, while </w:t>
      </w:r>
      <w:r>
        <w:rPr>
          <w:rFonts w:ascii="Times New Roman" w:cs="Times New Roman" w:eastAsia="Times New Roman" w:hAnsi="Times New Roman"/>
          <w:sz w:val="22"/>
          <w:szCs w:val="22"/>
        </w:rPr>
        <w:t xml:space="preserve">Teitgen et al. (2023)</w:t>
      </w:r>
      <w:r>
        <w:rPr>
          <w:rFonts w:ascii="Times New Roman" w:cs="Times New Roman" w:eastAsia="Times New Roman" w:hAnsi="Times New Roman"/>
          <w:sz w:val="22"/>
          <w:szCs w:val="22"/>
        </w:rPr>
        <w:t xml:space="preserve"> developed collision-grid representations for dynamic trajectory planning in dense traffic. Reward parameterization alone has been shown to shift maneuvering behavior and its safety–efficiency trade-offs substantially </w:t>
      </w:r>
      <w:r>
        <w:rPr>
          <w:rFonts w:ascii="Times New Roman" w:cs="Times New Roman" w:eastAsia="Times New Roman" w:hAnsi="Times New Roman"/>
          <w:sz w:val="22"/>
          <w:szCs w:val="22"/>
        </w:rPr>
        <w:t xml:space="preserve">(Krautwig et al., 2025)</w:t>
      </w:r>
      <w:r>
        <w:rPr>
          <w:rFonts w:ascii="Times New Roman" w:cs="Times New Roman" w:eastAsia="Times New Roman" w:hAnsi="Times New Roman"/>
          <w:sz w:val="22"/>
          <w:szCs w:val="22"/>
        </w:rPr>
        <w:t xml:space="preserve">. The progression is therefore not simply toward more powerful learning algorithms, but toward observation, reward, and constraint structures that make the relevant collision geometry available to the policy.</w:t>
      </w:r>
    </w:p>
    <w:p>
      <w:pPr>
        <w:spacing w:after="140" w:line="288"/>
        <w:jc w:val="both"/>
      </w:pPr>
      <w:r>
        <w:rPr>
          <w:rFonts w:ascii="Times New Roman" w:cs="Times New Roman" w:eastAsia="Times New Roman" w:hAnsi="Times New Roman"/>
          <w:sz w:val="22"/>
          <w:szCs w:val="22"/>
        </w:rPr>
        <w:t xml:space="preserve">These approaches raise a distinction that is important for interpreting learned compliance. An encounter classifier, collision-risk estimate, or rule-dependent observation already supplies structured navigation knowledge; the agent subsequently learns how to act on that information. </w:t>
      </w:r>
      <w:r>
        <w:rPr>
          <w:rFonts w:ascii="Times New Roman" w:cs="Times New Roman" w:eastAsia="Times New Roman" w:hAnsi="Times New Roman"/>
          <w:sz w:val="22"/>
          <w:szCs w:val="22"/>
        </w:rPr>
        <w:t xml:space="preserve">Hart et al. (2024)</w:t>
      </w:r>
      <w:r>
        <w:rPr>
          <w:rFonts w:ascii="Times New Roman" w:cs="Times New Roman" w:eastAsia="Times New Roman" w:hAnsi="Times New Roman"/>
          <w:sz w:val="22"/>
          <w:szCs w:val="22"/>
        </w:rPr>
        <w:t xml:space="preserve">, for example, estimated collision risk with a supervised recurrent network and supplied it to the reinforcement-learning agent, roughly halving collisions, with the improvement holding across the learning algorithms tested. Model-reference designs similarly retain a conventional tracking controller and learn only a collision-aware correction </w:t>
      </w:r>
      <w:r>
        <w:rPr>
          <w:rFonts w:ascii="Times New Roman" w:cs="Times New Roman" w:eastAsia="Times New Roman" w:hAnsi="Times New Roman"/>
          <w:sz w:val="22"/>
          <w:szCs w:val="22"/>
        </w:rPr>
        <w:t xml:space="preserve">(Zhang et al., 2022)</w:t>
      </w:r>
      <w:r>
        <w:rPr>
          <w:rFonts w:ascii="Times New Roman" w:cs="Times New Roman" w:eastAsia="Times New Roman" w:hAnsi="Times New Roman"/>
          <w:sz w:val="22"/>
          <w:szCs w:val="22"/>
        </w:rPr>
        <w:t xml:space="preserve">. In such architectures, engineered risk and encounter information defines part of the decision context, while learning determines the response. Making this split explicit allows the relationship between supplied context, reward incentives, and executed maneuvers to be examined rather than assumed.</w:t>
      </w:r>
    </w:p>
    <w:p>
      <w:pPr>
        <w:pStyle w:val="Heading3"/>
      </w:pPr>
      <w:r>
        <w:rPr>
          <w:rFonts w:ascii="Times New Roman" w:cs="Times New Roman" w:eastAsia="Times New Roman" w:hAnsi="Times New Roman"/>
        </w:rPr>
        <w:t xml:space="preserve">1.2.3. Restricted and inland waterways</w:t>
      </w:r>
    </w:p>
    <w:p>
      <w:pPr>
        <w:spacing w:after="140" w:line="288"/>
        <w:jc w:val="both"/>
      </w:pPr>
      <w:r>
        <w:rPr>
          <w:rFonts w:ascii="Times New Roman" w:cs="Times New Roman" w:eastAsia="Times New Roman" w:hAnsi="Times New Roman"/>
          <w:sz w:val="22"/>
          <w:szCs w:val="22"/>
        </w:rPr>
        <w:t xml:space="preserve">Restricted water remains comparatively underexplored. Of the 48 collision-avoidance approaches reviewed by </w:t>
      </w:r>
      <w:r>
        <w:rPr>
          <w:rFonts w:ascii="Times New Roman" w:cs="Times New Roman" w:eastAsia="Times New Roman" w:hAnsi="Times New Roman"/>
          <w:sz w:val="22"/>
          <w:szCs w:val="22"/>
        </w:rPr>
        <w:t xml:space="preserve">Burmeister and Constapel (2021)</w:t>
      </w:r>
      <w:r>
        <w:rPr>
          <w:rFonts w:ascii="Times New Roman" w:cs="Times New Roman" w:eastAsia="Times New Roman" w:hAnsi="Times New Roman"/>
          <w:sz w:val="22"/>
          <w:szCs w:val="22"/>
        </w:rPr>
        <w:t xml:space="preserve">, only two addressed Rule 9, even in part. </w:t>
      </w:r>
      <w:r>
        <w:rPr>
          <w:rFonts w:ascii="Times New Roman" w:cs="Times New Roman" w:eastAsia="Times New Roman" w:hAnsi="Times New Roman"/>
          <w:sz w:val="22"/>
          <w:szCs w:val="22"/>
        </w:rPr>
        <w:t xml:space="preserve">Hansen et al. (2022)</w:t>
      </w:r>
      <w:r>
        <w:rPr>
          <w:rFonts w:ascii="Times New Roman" w:cs="Times New Roman" w:eastAsia="Times New Roman" w:hAnsi="Times New Roman"/>
          <w:sz w:val="22"/>
          <w:szCs w:val="22"/>
        </w:rPr>
        <w:t xml:space="preserve"> proposed a situation-awareness framework that assesses whether Rule 9 applies by evaluating vessel maneuverability, recognizing that narrow-channel rules can alter the expected give-way and stand-on roles. Classical planners now treat confined water explicitly </w:t>
      </w:r>
      <w:r>
        <w:rPr>
          <w:rFonts w:ascii="Times New Roman" w:cs="Times New Roman" w:eastAsia="Times New Roman" w:hAnsi="Times New Roman"/>
          <w:sz w:val="22"/>
          <w:szCs w:val="22"/>
        </w:rPr>
        <w:t xml:space="preserve">(Thyri and Breivik, 2022; He et al., 2025)</w:t>
      </w:r>
      <w:r>
        <w:rPr>
          <w:rFonts w:ascii="Times New Roman" w:cs="Times New Roman" w:eastAsia="Times New Roman" w:hAnsi="Times New Roman"/>
          <w:sz w:val="22"/>
          <w:szCs w:val="22"/>
        </w:rPr>
        <w:t xml:space="preserve">, and field experiments have demonstrated autonomous navigation in a canal and its nearshore approaches </w:t>
      </w:r>
      <w:r>
        <w:rPr>
          <w:rFonts w:ascii="Times New Roman" w:cs="Times New Roman" w:eastAsia="Times New Roman" w:hAnsi="Times New Roman"/>
          <w:sz w:val="22"/>
          <w:szCs w:val="22"/>
        </w:rPr>
        <w:t xml:space="preserve">(Kim et al., 2024)</w:t>
      </w:r>
      <w:r>
        <w:rPr>
          <w:rFonts w:ascii="Times New Roman" w:cs="Times New Roman" w:eastAsia="Times New Roman" w:hAnsi="Times New Roman"/>
          <w:sz w:val="22"/>
          <w:szCs w:val="22"/>
        </w:rPr>
        <w:t xml:space="preserve">. Among learning-based methods, </w:t>
      </w:r>
      <w:r>
        <w:rPr>
          <w:rFonts w:ascii="Times New Roman" w:cs="Times New Roman" w:eastAsia="Times New Roman" w:hAnsi="Times New Roman"/>
          <w:sz w:val="22"/>
          <w:szCs w:val="22"/>
        </w:rPr>
        <w:t xml:space="preserve">Paulig and Okhrin (2024)</w:t>
      </w:r>
      <w:r>
        <w:rPr>
          <w:rFonts w:ascii="Times New Roman" w:cs="Times New Roman" w:eastAsia="Times New Roman" w:hAnsi="Times New Roman"/>
          <w:sz w:val="22"/>
          <w:szCs w:val="22"/>
        </w:rPr>
        <w:t xml:space="preserve"> developed bootstrapped reinforcement learning for river path following, accounting for waterway geometry, strong flows, and shallow banks, and </w:t>
      </w:r>
      <w:r>
        <w:rPr>
          <w:rFonts w:ascii="Times New Roman" w:cs="Times New Roman" w:eastAsia="Times New Roman" w:hAnsi="Times New Roman"/>
          <w:sz w:val="22"/>
          <w:szCs w:val="22"/>
        </w:rPr>
        <w:t xml:space="preserve">Hao et al. (2024)</w:t>
      </w:r>
      <w:r>
        <w:rPr>
          <w:rFonts w:ascii="Times New Roman" w:cs="Times New Roman" w:eastAsia="Times New Roman" w:hAnsi="Times New Roman"/>
          <w:sz w:val="22"/>
          <w:szCs w:val="22"/>
        </w:rPr>
        <w:t xml:space="preserve"> investigated improved PPO for collision-avoidance decisions in restricted waters, combining ship-domain considerations, restricted operating areas, and COLREGs. These studies show that channel geometry and inland operating conditions are established topics in learning-based marine navigation.</w:t>
      </w:r>
    </w:p>
    <w:p>
      <w:pPr>
        <w:spacing w:after="140" w:line="288"/>
        <w:jc w:val="both"/>
      </w:pPr>
      <w:commentRangeStart w:id="0"/>
      <w:r>
        <w:rPr>
          <w:rFonts w:ascii="Times New Roman" w:cs="Times New Roman" w:eastAsia="Times New Roman" w:hAnsi="Times New Roman"/>
          <w:sz w:val="22"/>
          <w:szCs w:val="22"/>
        </w:rPr>
        <w:t xml:space="preserve">Waltz et al. (2025)</w:t>
      </w:r>
      <w:r>
        <w:rPr>
          <w:rFonts w:ascii="Times New Roman" w:cs="Times New Roman" w:eastAsia="Times New Roman" w:hAnsi="Times New Roman"/>
          <w:sz w:val="22"/>
          <w:szCs w:val="22"/>
        </w:rPr>
        <w:t xml:space="preserve"> provide particularly close prior work through a two-level reinforcement-learning architecture for inland-waterway path planning and following. Their high-level planner handles surrounding traffic, waterway geometry, and the traffic regulation of the studied waterway, while a separate controller executes the local path; validation scenarios were derived from AIS traffic data, and the learned planner increased passing distances relative to an artificial-potential-field planner.</w:t>
      </w:r>
      <w:commentRangeEnd w:id="0"/>
      <w:r>
        <w:commentReference w:id="0"/>
      </w:r>
      <w:r>
        <w:rPr>
          <w:rFonts w:ascii="Times New Roman" w:cs="Times New Roman" w:eastAsia="Times New Roman" w:hAnsi="Times New Roman"/>
          <w:sz w:val="22"/>
          <w:szCs w:val="22"/>
        </w:rPr>
        <w:t xml:space="preserve"> The present work differs in its model-scale, LiDAR-tracked encounters, a single learned rudder-and-propulsion policy operating on processed observations, and an evaluation organized around maneuver admissibility as channel width changes.</w:t>
      </w:r>
    </w:p>
    <w:p>
      <w:pPr>
        <w:spacing w:after="140" w:line="288"/>
        <w:jc w:val="both"/>
      </w:pPr>
      <w:r>
        <w:rPr>
          <w:rFonts w:ascii="Times New Roman" w:cs="Times New Roman" w:eastAsia="Times New Roman" w:hAnsi="Times New Roman"/>
          <w:sz w:val="22"/>
          <w:szCs w:val="22"/>
        </w:rPr>
        <w:t xml:space="preserve">The remaining question addressed here is therefore more specific than whether DRL can operate in narrow water. It concerns how the available lateral clearance changes the feasible response within a declared rule interpretation, and whether a learned controller can use that change to choose between course alteration, reduced speed, and holding astern. Width is treated as a geometric experimental variable, not as a universal legal criterion defining a narrow channel. Moreover, speed reduction is not assumed to resolve every constrained encounter: stopping in the path of a reciprocally approaching vessel may preserve the conflict rather than remove it. The proposed formulation consequently conditions slowing incentives on predicted clearance instead of applying a general preference for stopping whenever lateral space is limited.</w:t>
      </w:r>
    </w:p>
    <w:p>
      <w:pPr>
        <w:pStyle w:val="Heading3"/>
      </w:pPr>
      <w:r>
        <w:rPr>
          <w:rFonts w:ascii="Times New Roman" w:cs="Times New Roman" w:eastAsia="Times New Roman" w:hAnsi="Times New Roman"/>
        </w:rPr>
        <w:t xml:space="preserve">1.2.4. Onboard sensing, integrated control, and physical validation</w:t>
      </w:r>
    </w:p>
    <w:p>
      <w:pPr>
        <w:spacing w:after="140" w:line="288"/>
        <w:jc w:val="both"/>
      </w:pPr>
      <w:r>
        <w:rPr>
          <w:rFonts w:ascii="Times New Roman" w:cs="Times New Roman" w:eastAsia="Times New Roman" w:hAnsi="Times New Roman"/>
          <w:sz w:val="22"/>
          <w:szCs w:val="22"/>
        </w:rPr>
        <w:t xml:space="preserve">Onboard-sensor navigation has been demonstrated extensively outside the reinforcement-learning literature. </w:t>
      </w:r>
      <w:r>
        <w:rPr>
          <w:rFonts w:ascii="Times New Roman" w:cs="Times New Roman" w:eastAsia="Times New Roman" w:hAnsi="Times New Roman"/>
          <w:sz w:val="22"/>
          <w:szCs w:val="22"/>
        </w:rPr>
        <w:t xml:space="preserve">Han et al. (2020)</w:t>
      </w:r>
      <w:r>
        <w:rPr>
          <w:rFonts w:ascii="Times New Roman" w:cs="Times New Roman" w:eastAsia="Times New Roman" w:hAnsi="Times New Roman"/>
          <w:sz w:val="22"/>
          <w:szCs w:val="22"/>
        </w:rPr>
        <w:t xml:space="preserve"> fused radar, LiDAR, and camera tracks to drive COLREGs-compliant maneuvers in field tests, and model-predictive collision avoidance has been verified at sea in challenging scenarios </w:t>
      </w:r>
      <w:r>
        <w:rPr>
          <w:rFonts w:ascii="Times New Roman" w:cs="Times New Roman" w:eastAsia="Times New Roman" w:hAnsi="Times New Roman"/>
          <w:sz w:val="22"/>
          <w:szCs w:val="22"/>
        </w:rPr>
        <w:t xml:space="preserve">(Eriksen et al., 2019; Kufoalor et al., 2020)</w:t>
      </w:r>
      <w:r>
        <w:rPr>
          <w:rFonts w:ascii="Times New Roman" w:cs="Times New Roman" w:eastAsia="Times New Roman" w:hAnsi="Times New Roman"/>
          <w:sz w:val="22"/>
          <w:szCs w:val="22"/>
        </w:rPr>
        <w:t xml:space="preserve">. Using an open multi-sensor dataset, </w:t>
      </w:r>
      <w:r>
        <w:rPr>
          <w:rFonts w:ascii="Times New Roman" w:cs="Times New Roman" w:eastAsia="Times New Roman" w:hAnsi="Times New Roman"/>
          <w:sz w:val="22"/>
          <w:szCs w:val="22"/>
        </w:rPr>
        <w:t xml:space="preserve">Helgesen et al. (2022)</w:t>
      </w:r>
      <w:r>
        <w:rPr>
          <w:rFonts w:ascii="Times New Roman" w:cs="Times New Roman" w:eastAsia="Times New Roman" w:hAnsi="Times New Roman"/>
          <w:sz w:val="22"/>
          <w:szCs w:val="22"/>
        </w:rPr>
        <w:t xml:space="preserve"> showed that detection and tracking performance depends strongly on the littoral environment. For static obstacles, </w:t>
      </w:r>
      <w:r>
        <w:rPr>
          <w:rFonts w:ascii="Times New Roman" w:cs="Times New Roman" w:eastAsia="Times New Roman" w:hAnsi="Times New Roman"/>
          <w:sz w:val="22"/>
          <w:szCs w:val="22"/>
        </w:rPr>
        <w:t xml:space="preserve">Villa et al. (2020)</w:t>
      </w:r>
      <w:r>
        <w:rPr>
          <w:rFonts w:ascii="Times New Roman" w:cs="Times New Roman" w:eastAsia="Times New Roman" w:hAnsi="Times New Roman"/>
          <w:sz w:val="22"/>
          <w:szCs w:val="22"/>
        </w:rPr>
        <w:t xml:space="preserve"> developed and field-tested a guidance, navigation, and control architecture combining path following with LiDAR-based obstacle avoidance in harbor conditions, and </w:t>
      </w:r>
      <w:r>
        <w:rPr>
          <w:rFonts w:ascii="Times New Roman" w:cs="Times New Roman" w:eastAsia="Times New Roman" w:hAnsi="Times New Roman"/>
          <w:sz w:val="22"/>
          <w:szCs w:val="22"/>
        </w:rPr>
        <w:t xml:space="preserve">Kim et al. (2022)</w:t>
      </w:r>
      <w:r>
        <w:rPr>
          <w:rFonts w:ascii="Times New Roman" w:cs="Times New Roman" w:eastAsia="Times New Roman" w:hAnsi="Times New Roman"/>
          <w:sz w:val="22"/>
          <w:szCs w:val="22"/>
        </w:rPr>
        <w:t xml:space="preserve"> evaluated a two-dimensional LiDAR obstacle-avoidance system numerically and experimentally on an ASV. These studies motivate evaluating the perception, vessel model, and controller as an integrated system rather than treating obstacle information as an error-free input.</w:t>
      </w:r>
    </w:p>
    <w:p>
      <w:pPr>
        <w:spacing w:after="140" w:line="288"/>
        <w:jc w:val="both"/>
      </w:pPr>
      <w:r>
        <w:rPr>
          <w:rFonts w:ascii="Times New Roman" w:cs="Times New Roman" w:eastAsia="Times New Roman" w:hAnsi="Times New Roman"/>
          <w:sz w:val="22"/>
          <w:szCs w:val="22"/>
        </w:rPr>
        <w:t xml:space="preserve">Recent DRL studies increasingly integrate onboard sensing with collision-avoidance decisions. </w:t>
      </w:r>
      <w:r>
        <w:rPr>
          <w:rFonts w:ascii="Times New Roman" w:cs="Times New Roman" w:eastAsia="Times New Roman" w:hAnsi="Times New Roman"/>
          <w:sz w:val="22"/>
          <w:szCs w:val="22"/>
        </w:rPr>
        <w:t xml:space="preserve">Lin et al. (2025)</w:t>
      </w:r>
      <w:r>
        <w:rPr>
          <w:rFonts w:ascii="Times New Roman" w:cs="Times New Roman" w:eastAsia="Times New Roman" w:hAnsi="Times New Roman"/>
          <w:sz w:val="22"/>
          <w:szCs w:val="22"/>
        </w:rPr>
        <w:t xml:space="preserve"> combined decision-making and continuous thrust control using distributional reinforcement learning, with LiDAR and odometry-based observations, static obstacles, other vessels, and COLREGs-related preferences. They compared several learning algorithms and classical controllers and evaluated transfer from a simplified training environment, in which object states were supplied with injected noise, to a higher-fidelity simulator in which they were obtained by segmenting LiDAR point clouds. </w:t>
      </w:r>
      <w:r>
        <w:rPr>
          <w:rFonts w:ascii="Times New Roman" w:cs="Times New Roman" w:eastAsia="Times New Roman" w:hAnsi="Times New Roman"/>
          <w:sz w:val="22"/>
          <w:szCs w:val="22"/>
        </w:rPr>
        <w:t xml:space="preserve">Wu et al. (2025a)</w:t>
      </w:r>
      <w:r>
        <w:rPr>
          <w:rFonts w:ascii="Times New Roman" w:cs="Times New Roman" w:eastAsia="Times New Roman" w:hAnsi="Times New Roman"/>
          <w:sz w:val="22"/>
          <w:szCs w:val="22"/>
        </w:rPr>
        <w:t xml:space="preserve"> developed sensor-level mapless navigation from real-time LiDAR with potential-based reward shaping and a risk-evaluation and action-correction mechanism. These results establish sensor-driven learning, mixed-obstacle navigation, and cross-algorithm comparison as existing capabilities. They leave open how a policy behaves when its encounter information comes from a tracker during training as well as evaluation, and how that information interacts with width-dependent maneuver constraints.</w:t>
      </w:r>
    </w:p>
    <w:p>
      <w:pPr>
        <w:spacing w:after="140" w:line="288"/>
        <w:jc w:val="both"/>
      </w:pPr>
      <w:r>
        <w:rPr>
          <w:rFonts w:ascii="Times New Roman" w:cs="Times New Roman" w:eastAsia="Times New Roman" w:hAnsi="Times New Roman"/>
          <w:sz w:val="22"/>
          <w:szCs w:val="22"/>
        </w:rPr>
        <w:t xml:space="preserve">Physical transfer remains a separate evidential requirement. </w:t>
      </w:r>
      <w:r>
        <w:rPr>
          <w:rFonts w:ascii="Times New Roman" w:cs="Times New Roman" w:eastAsia="Times New Roman" w:hAnsi="Times New Roman"/>
          <w:sz w:val="22"/>
          <w:szCs w:val="22"/>
        </w:rPr>
        <w:t xml:space="preserve">Slawik et al. (2024)</w:t>
      </w:r>
      <w:r>
        <w:rPr>
          <w:rFonts w:ascii="Times New Roman" w:cs="Times New Roman" w:eastAsia="Times New Roman" w:hAnsi="Times New Roman"/>
          <w:sz w:val="22"/>
          <w:szCs w:val="22"/>
        </w:rPr>
        <w:t xml:space="preserve"> compared reinforcement-learning algorithms for ASV path following and showed, on a small-scale vessel in a test basin, that domain randomization improved performance on real hardware. </w:t>
      </w:r>
      <w:r>
        <w:rPr>
          <w:rFonts w:ascii="Times New Roman" w:cs="Times New Roman" w:eastAsia="Times New Roman" w:hAnsi="Times New Roman"/>
          <w:sz w:val="22"/>
          <w:szCs w:val="22"/>
        </w:rPr>
        <w:t xml:space="preserve">Wang et al. (2025)</w:t>
      </w:r>
      <w:r>
        <w:rPr>
          <w:rFonts w:ascii="Times New Roman" w:cs="Times New Roman" w:eastAsia="Times New Roman" w:hAnsi="Times New Roman"/>
          <w:sz w:val="22"/>
          <w:szCs w:val="22"/>
        </w:rPr>
        <w:t xml:space="preserve"> reported physical experiments with a model-scale vessel for a soft actor–critic policy acting on both rudder angle and propeller speed, and </w:t>
      </w:r>
      <w:r>
        <w:rPr>
          <w:rFonts w:ascii="Times New Roman" w:cs="Times New Roman" w:eastAsia="Times New Roman" w:hAnsi="Times New Roman"/>
          <w:sz w:val="22"/>
          <w:szCs w:val="22"/>
        </w:rPr>
        <w:t xml:space="preserve">He et al. (2025)</w:t>
      </w:r>
      <w:r>
        <w:rPr>
          <w:rFonts w:ascii="Times New Roman" w:cs="Times New Roman" w:eastAsia="Times New Roman" w:hAnsi="Times New Roman"/>
          <w:sz w:val="22"/>
          <w:szCs w:val="22"/>
        </w:rPr>
        <w:t xml:space="preserve"> validated a classical MPC controller in confined-water towing-tank tests. The authors' preceding study combined LiDAR-based path following and static-obstacle avoidance with basin experiments </w:t>
      </w:r>
      <w:r>
        <w:rPr>
          <w:rFonts w:ascii="Times New Roman" w:cs="Times New Roman" w:eastAsia="Times New Roman" w:hAnsi="Times New Roman"/>
          <w:sz w:val="22"/>
          <w:szCs w:val="22"/>
        </w:rPr>
        <w:t xml:space="preserve">(Tran et al., 2026)</w:t>
      </w:r>
      <w:r>
        <w:rPr>
          <w:rFonts w:ascii="Times New Roman" w:cs="Times New Roman" w:eastAsia="Times New Roman" w:hAnsi="Times New Roman"/>
          <w:sz w:val="22"/>
          <w:szCs w:val="22"/>
        </w:rPr>
        <w:t xml:space="preserve">. The present formulation extends that line of work to a moving vessel and encounter-dependent behavior. However, the earlier static-obstacle experiments do not establish dynamic-target compliance, and successful simulation with synthetic LiDAR does not substitute for physical encounter trials. Transfer evidence must therefore be reported separately from numerical safety and compliance results.</w:t>
      </w:r>
    </w:p>
    <w:p>
      <w:pPr>
        <w:pStyle w:val="Heading3"/>
      </w:pPr>
      <w:r>
        <w:rPr>
          <w:rFonts w:ascii="Times New Roman" w:cs="Times New Roman" w:eastAsia="Times New Roman" w:hAnsi="Times New Roman"/>
        </w:rPr>
        <w:t xml:space="preserve">1.2.5. Evaluation practice and the research gap</w:t>
      </w:r>
    </w:p>
    <w:p>
      <w:pPr>
        <w:spacing w:after="140" w:line="288"/>
        <w:jc w:val="both"/>
      </w:pPr>
      <w:r>
        <w:rPr>
          <w:rFonts w:ascii="Times New Roman" w:cs="Times New Roman" w:eastAsia="Times New Roman" w:hAnsi="Times New Roman"/>
          <w:sz w:val="22"/>
          <w:szCs w:val="22"/>
        </w:rPr>
        <w:t xml:space="preserve">How learned collision avoidance is evaluated determines what can be concluded from it. Automatic evaluation schemes express selected COLREG requirements as mathematical conditions whose parameters encode the evaluator's interpretation </w:t>
      </w:r>
      <w:r>
        <w:rPr>
          <w:rFonts w:ascii="Times New Roman" w:cs="Times New Roman" w:eastAsia="Times New Roman" w:hAnsi="Times New Roman"/>
          <w:sz w:val="22"/>
          <w:szCs w:val="22"/>
        </w:rPr>
        <w:t xml:space="preserve">(Hagen et al., 2023)</w:t>
      </w:r>
      <w:r>
        <w:rPr>
          <w:rFonts w:ascii="Times New Roman" w:cs="Times New Roman" w:eastAsia="Times New Roman" w:hAnsi="Times New Roman"/>
          <w:sz w:val="22"/>
          <w:szCs w:val="22"/>
        </w:rPr>
        <w:t xml:space="preserve">, and the prevalence of implementation errors reported by </w:t>
      </w:r>
      <w:r>
        <w:rPr>
          <w:rFonts w:ascii="Times New Roman" w:cs="Times New Roman" w:eastAsia="Times New Roman" w:hAnsi="Times New Roman"/>
          <w:sz w:val="22"/>
          <w:szCs w:val="22"/>
        </w:rPr>
        <w:t xml:space="preserve">Sánchez-González et al. (2026)</w:t>
      </w:r>
      <w:r>
        <w:rPr>
          <w:rFonts w:ascii="Times New Roman" w:cs="Times New Roman" w:eastAsia="Times New Roman" w:hAnsi="Times New Roman"/>
          <w:sz w:val="22"/>
          <w:szCs w:val="22"/>
        </w:rPr>
        <w:t xml:space="preserve"> argues for declared, behavior-level compliance metrics rather than claims of legal compliance. Algorithm comparison raises a further difficulty. </w:t>
      </w:r>
      <w:r>
        <w:rPr>
          <w:rFonts w:ascii="Times New Roman" w:cs="Times New Roman" w:eastAsia="Times New Roman" w:hAnsi="Times New Roman"/>
          <w:sz w:val="22"/>
          <w:szCs w:val="22"/>
        </w:rPr>
        <w:t xml:space="preserve">Larsen et al. (2021)</w:t>
      </w:r>
      <w:r>
        <w:rPr>
          <w:rFonts w:ascii="Times New Roman" w:cs="Times New Roman" w:eastAsia="Times New Roman" w:hAnsi="Times New Roman"/>
          <w:sz w:val="22"/>
          <w:szCs w:val="22"/>
        </w:rPr>
        <w:t xml:space="preserve"> compared several DRL algorithms for path following and collision avoidance and found PPO the most robust to changes in environment complexity and reward; </w:t>
      </w:r>
      <w:r>
        <w:rPr>
          <w:rFonts w:ascii="Times New Roman" w:cs="Times New Roman" w:eastAsia="Times New Roman" w:hAnsi="Times New Roman"/>
          <w:sz w:val="22"/>
          <w:szCs w:val="22"/>
        </w:rPr>
        <w:t xml:space="preserve">Lin et al. (2025)</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Slawik et al. (2024)</w:t>
      </w:r>
      <w:r>
        <w:rPr>
          <w:rFonts w:ascii="Times New Roman" w:cs="Times New Roman" w:eastAsia="Times New Roman" w:hAnsi="Times New Roman"/>
          <w:sz w:val="22"/>
          <w:szCs w:val="22"/>
        </w:rPr>
        <w:t xml:space="preserve"> also compared multiple learners, while </w:t>
      </w:r>
      <w:r>
        <w:rPr>
          <w:rFonts w:ascii="Times New Roman" w:cs="Times New Roman" w:eastAsia="Times New Roman" w:hAnsi="Times New Roman"/>
          <w:sz w:val="22"/>
          <w:szCs w:val="22"/>
        </w:rPr>
        <w:t xml:space="preserve">Hart et al. (2024)</w:t>
      </w:r>
      <w:r>
        <w:rPr>
          <w:rFonts w:ascii="Times New Roman" w:cs="Times New Roman" w:eastAsia="Times New Roman" w:hAnsi="Times New Roman"/>
          <w:sz w:val="22"/>
          <w:szCs w:val="22"/>
        </w:rPr>
        <w:t xml:space="preserve"> investigated an architecture intended to benefit more than one algorithm. Reinforcement-learning results are, however, sensitive to hyperparameters, implementation details, and random seeds, and comparisons based on a small number of runs require explicit treatment of statistical uncertainty </w:t>
      </w:r>
      <w:r>
        <w:rPr>
          <w:rFonts w:ascii="Times New Roman" w:cs="Times New Roman" w:eastAsia="Times New Roman" w:hAnsi="Times New Roman"/>
          <w:sz w:val="22"/>
          <w:szCs w:val="22"/>
        </w:rPr>
        <w:t xml:space="preserve">(Agarwal et al., 2021; Patterson et al., 2024)</w:t>
      </w:r>
      <w:r>
        <w:rPr>
          <w:rFonts w:ascii="Times New Roman" w:cs="Times New Roman" w:eastAsia="Times New Roman" w:hAnsi="Times New Roman"/>
          <w:sz w:val="22"/>
          <w:szCs w:val="22"/>
        </w:rPr>
        <w:t xml:space="preserve">. Building on these observations, the present study holds the observation, reward, dynamics, and curriculum fixed across learners and separates checkpoint selection from held-out evaluation. Common training budgets then support comparison under a specified protocol, not a claim that all algorithms have received equally optimal tuning or that small differences establish a universal ranking.</w:t>
      </w:r>
    </w:p>
    <w:p>
      <w:pPr>
        <w:spacing w:after="140" w:line="288"/>
        <w:jc w:val="both"/>
      </w:pPr>
      <w:r>
        <w:rPr>
          <w:rFonts w:ascii="Times New Roman" w:cs="Times New Roman" w:eastAsia="Times New Roman" w:hAnsi="Times New Roman"/>
          <w:sz w:val="22"/>
          <w:szCs w:val="22"/>
        </w:rPr>
        <w:t xml:space="preserve">Taken together, the reviewed studies support a research gap at the intersection of sensing, constrained maneuvering, and evaluation rather than within any one of those areas. Classical methods handle restricted water and fixed hazards explicitly but depend on tuned rules and accurate prediction; </w:t>
      </w:r>
      <w:commentRangeStart w:id="1"/>
      <w:r>
        <w:rPr>
          <w:rFonts w:ascii="Times New Roman" w:cs="Times New Roman" w:eastAsia="Times New Roman" w:hAnsi="Times New Roman"/>
          <w:sz w:val="22"/>
          <w:szCs w:val="22"/>
        </w:rPr>
        <w:t xml:space="preserve">learned COLREGs-aware policies are mostly trained on idealized or noise-perturbed target states and evaluated in open or loosely bounded water;</w:t>
      </w:r>
      <w:commentRangeEnd w:id="1"/>
      <w:r>
        <w:commentReference w:id="1"/>
      </w:r>
      <w:r>
        <w:rPr>
          <w:rFonts w:ascii="Times New Roman" w:cs="Times New Roman" w:eastAsia="Times New Roman" w:hAnsi="Times New Roman"/>
          <w:sz w:val="22"/>
          <w:szCs w:val="22"/>
        </w:rPr>
        <w:t xml:space="preserve"> and where learners are compared, the formulation is rarely fixed independently of the learner. This paper examines a shared formulation in which a tracked LiDAR encounter and map-derived navigable boundaries inform a learned control policy, the admissibility of an encounter-consistent maneuver is evaluated against the available space, and performance is measured separately under changes in channel width, perception quality, target behavior, and learner. The intended advance is an explicit and testable account of how these factors jointly affect navigation performance and encounter-consistent behavior.</w:t>
      </w:r>
    </w:p>
    <w:p>
      <w:pPr>
        <w:pStyle w:val="Heading2"/>
      </w:pPr>
      <w:r>
        <w:rPr>
          <w:rFonts w:ascii="Times New Roman" w:cs="Times New Roman" w:eastAsia="Times New Roman" w:hAnsi="Times New Roman"/>
        </w:rPr>
        <w:t xml:space="preserve">1.3. Scope, objective, and contributions</w:t>
      </w:r>
    </w:p>
    <w:p>
      <w:pPr>
        <w:spacing w:after="140" w:line="288"/>
        <w:jc w:val="both"/>
      </w:pPr>
      <w:r>
        <w:rPr>
          <w:rFonts w:ascii="Times New Roman" w:cs="Times New Roman" w:eastAsia="Times New Roman" w:hAnsi="Times New Roman"/>
          <w:sz w:val="22"/>
          <w:szCs w:val="22"/>
        </w:rPr>
        <w:t xml:space="preserve">The objective is to develop and evaluate a sensor-realistic DRL formulation for path following, static-obstacle avoidance, and COLREGs-aware two-vessel encounters in confined water, and to compare PPO, recurrent PPO, soft actor–critic (SAC), and truncated quantile critics (TQC) under that shared formulation. The central questions are whether the policy can complete the navigation task while producing encounter-consistent behavior, how its response changes as maneuvering room decreases, how perception degradation affects safety and compliance, and which learner differences remain meaningful across training seeds.</w:t>
      </w:r>
    </w:p>
    <w:p>
      <w:pPr>
        <w:spacing w:after="140" w:line="288"/>
        <w:jc w:val="both"/>
      </w:pPr>
      <w:r>
        <w:rPr>
          <w:rFonts w:ascii="Times New Roman" w:cs="Times New Roman" w:eastAsia="Times New Roman" w:hAnsi="Times New Roman"/>
          <w:sz w:val="22"/>
          <w:szCs w:val="22"/>
        </w:rPr>
        <w:t xml:space="preserve">The study considers one model-scale ASV, one moving target, and up to three static obstacles in a 10 × 25 m basin and in parallel-walled channels. The policy issues continuous rudder and propulsion commands at 2 Hz. Target information is estimated from onboard two-dimensional LiDAR; the policy is not supplied with AIS or simulator ground-truth target states. Navigable boundaries are obtained from a map using the estimated own-ship pose. Detection, tracking, and encounter classification are explicit processing stages, and the observation includes encounter context as well as range, path, and own-ship information. Simulator ground truth remains available for physical collision and clearance rewards during training, so the restriction on target-state access applies to the policy input rather than to every component of the training environment.</w:t>
      </w:r>
    </w:p>
    <w:p>
      <w:pPr>
        <w:spacing w:after="140" w:line="288"/>
        <w:jc w:val="both"/>
      </w:pPr>
      <w:r>
        <w:rPr>
          <w:rFonts w:ascii="Times New Roman" w:cs="Times New Roman" w:eastAsia="Times New Roman" w:hAnsi="Times New Roman"/>
          <w:sz w:val="22"/>
          <w:szCs w:val="22"/>
        </w:rPr>
        <w:t xml:space="preserve">The regulatory scope comprises selected requirements from Rules 8, 9, 13, 14, 15/16, and 17(a)(i). For crossing encounters, the experiments adopt an explicit narrow-channel operating convention in which the own ship gives way to a target approaching from either side. This convention is motivated by the conditional non-impeding requirement in Rule 9(b); it is not presented as the general open-water Rule 15/17 role assignment or as a consequence of vessel length alone. The study excludes active stand-on intervention under Rule 17(a)(ii) and Rule 17(b), vessel-status responsibilities under Rule 18, restricted visibility under Rule 19, signaling, and simultaneous multiple-target encounters. Compliance is assessed through declared behavioral metrics, not legal certification.</w:t>
      </w:r>
    </w:p>
    <w:p>
      <w:pPr>
        <w:spacing w:after="140" w:line="288"/>
        <w:jc w:val="both"/>
      </w:pPr>
      <w:r>
        <w:rPr>
          <w:rFonts w:ascii="Times New Roman" w:cs="Times New Roman" w:eastAsia="Times New Roman" w:hAnsi="Times New Roman"/>
          <w:sz w:val="22"/>
          <w:szCs w:val="22"/>
        </w:rPr>
        <w:t xml:space="preserve">Training targets maintain constant velocity and do not cooperate. Reactive and noncompliant target behaviors are reserved for robustness evaluation. The headline evaluation comprises 800 held-out constant-velocity scenarios per seed, including basin encounters and the trained channel configurations at widths of 7.5–10 m. A separate 3.5–10 m width sweep examines more restrictive geometries. Static-layout route checks screen out blocked geometric paths but are not interpreted as proof that every dynamic encounter is avoidable. An optional engineered stopping supervisor is evaluated separately: it remains disabled during training and during the assessment of learned compliance, and its interventions are not attributed to the policy.</w:t>
      </w:r>
    </w:p>
    <w:p>
      <w:pPr>
        <w:spacing w:after="140" w:line="288"/>
        <w:jc w:val="both"/>
      </w:pPr>
      <w:r>
        <w:rPr>
          <w:rFonts w:ascii="Times New Roman" w:cs="Times New Roman" w:eastAsia="Times New Roman" w:hAnsi="Times New Roman"/>
          <w:sz w:val="22"/>
          <w:szCs w:val="22"/>
        </w:rPr>
        <w:t xml:space="preserve">Within this scope, the methodological contributions are as follows.</w:t>
      </w:r>
    </w:p>
    <w:p>
      <w:pPr>
        <w:pStyle w:val="ListParagraph"/>
        <w:numPr>
          <w:ilvl w:val="0"/>
          <w:numId w:val="2"/>
        </w:numPr>
        <w:spacing w:after="100" w:line="288"/>
        <w:jc w:val="both"/>
      </w:pPr>
      <w:r>
        <w:rPr>
          <w:rFonts w:ascii="Times New Roman" w:cs="Times New Roman" w:eastAsia="Times New Roman" w:hAnsi="Times New Roman"/>
          <w:b/>
          <w:bCs/>
          <w:sz w:val="22"/>
          <w:szCs w:val="22"/>
        </w:rPr>
        <w:t xml:space="preserve">A sensor- and encounter-aware learning formulation.</w:t>
      </w:r>
      <w:r>
        <w:rPr>
          <w:rFonts w:ascii="Times New Roman" w:cs="Times New Roman" w:eastAsia="Times New Roman" w:hAnsi="Times New Roman"/>
          <w:sz w:val="22"/>
          <w:szCs w:val="22"/>
        </w:rPr>
        <w:t xml:space="preserve"> A common observation and reward design combines tracked LiDAR target information, map-derived boundaries, own-ship and path states, and explicit encounter context. The classifier supplies the encounter regime, while the policy learns the rudder-and-propulsion response. Encounter-dependent reward terms support route completion, obstacle clearance, and selected COLREGs-related behaviors without treating reward shaping as a formal safety guarantee.</w:t>
      </w:r>
    </w:p>
    <w:p>
      <w:pPr>
        <w:pStyle w:val="ListParagraph"/>
        <w:numPr>
          <w:ilvl w:val="0"/>
          <w:numId w:val="2"/>
        </w:numPr>
        <w:spacing w:after="100" w:line="288"/>
        <w:jc w:val="both"/>
      </w:pPr>
      <w:r>
        <w:rPr>
          <w:rFonts w:ascii="Times New Roman" w:cs="Times New Roman" w:eastAsia="Times New Roman" w:hAnsi="Times New Roman"/>
          <w:b/>
          <w:bCs/>
          <w:sz w:val="22"/>
          <w:szCs w:val="22"/>
        </w:rPr>
        <w:t xml:space="preserve">A geometric framework for constrained encounter responses.</w:t>
      </w:r>
      <w:r>
        <w:rPr>
          <w:rFonts w:ascii="Times New Roman" w:cs="Times New Roman" w:eastAsia="Times New Roman" w:hAnsi="Times New Roman"/>
          <w:sz w:val="22"/>
          <w:szCs w:val="22"/>
        </w:rPr>
        <w:t xml:space="preserve"> The formulation relates the available maneuvering space to an encounter-consistent course alteration, holding astern, or speed reduction where predicted clearance supports it. A dedicated channel-width sweep is designed to test configuration-dependent admissibility thresholds and changes in maneuver choice, rather than to infer legal precedence from channel width alone.</w:t>
      </w:r>
    </w:p>
    <w:p>
      <w:pPr>
        <w:pStyle w:val="ListParagraph"/>
        <w:numPr>
          <w:ilvl w:val="0"/>
          <w:numId w:val="2"/>
        </w:numPr>
        <w:spacing w:after="100" w:line="288"/>
        <w:jc w:val="both"/>
      </w:pPr>
      <w:r>
        <w:rPr>
          <w:rFonts w:ascii="Times New Roman" w:cs="Times New Roman" w:eastAsia="Times New Roman" w:hAnsi="Times New Roman"/>
          <w:b/>
          <w:bCs/>
          <w:sz w:val="22"/>
          <w:szCs w:val="22"/>
        </w:rPr>
        <w:t xml:space="preserve">A controlled four-learner comparison with classical references.</w:t>
      </w:r>
      <w:r>
        <w:rPr>
          <w:rFonts w:ascii="Times New Roman" w:cs="Times New Roman" w:eastAsia="Times New Roman" w:hAnsi="Times New Roman"/>
          <w:sz w:val="22"/>
          <w:szCs w:val="22"/>
        </w:rPr>
        <w:t xml:space="preserve"> PPO, recurrent PPO, SAC, and TQC share the frozen formulation and a common protocol of two million environment steps and three training seeds, with checkpoint selection confined to a separate development set. COLREGs-aware velocity obstacles </w:t>
      </w:r>
      <w:r>
        <w:rPr>
          <w:rFonts w:ascii="Times New Roman" w:cs="Times New Roman" w:eastAsia="Times New Roman" w:hAnsi="Times New Roman"/>
          <w:sz w:val="22"/>
          <w:szCs w:val="22"/>
        </w:rPr>
        <w:t xml:space="preserve">(Kuwata et al., 2014)</w:t>
      </w:r>
      <w:r>
        <w:rPr>
          <w:rFonts w:ascii="Times New Roman" w:cs="Times New Roman" w:eastAsia="Times New Roman" w:hAnsi="Times New Roman"/>
          <w:sz w:val="22"/>
          <w:szCs w:val="22"/>
        </w:rPr>
        <w:t xml:space="preserve">, a narrow-channel encounter-specific adaptation of them, and line-of-sight guidance with proportional–integral–derivative control and a dynamic-window avoidance layer </w:t>
      </w:r>
      <w:r>
        <w:rPr>
          <w:rFonts w:ascii="Times New Roman" w:cs="Times New Roman" w:eastAsia="Times New Roman" w:hAnsi="Times New Roman"/>
          <w:sz w:val="22"/>
          <w:szCs w:val="22"/>
        </w:rPr>
        <w:t xml:space="preserve">(Fox et al., 1997)</w:t>
      </w:r>
      <w:r>
        <w:rPr>
          <w:rFonts w:ascii="Times New Roman" w:cs="Times New Roman" w:eastAsia="Times New Roman" w:hAnsi="Times New Roman"/>
          <w:sz w:val="22"/>
          <w:szCs w:val="22"/>
        </w:rPr>
        <w:t xml:space="preserve"> provide nonlearned comparators using the same perception pipeline. Differences are reported with their seed variability rather than assuming a preferred learner in advance.</w:t>
      </w:r>
    </w:p>
    <w:p>
      <w:pPr>
        <w:pStyle w:val="ListParagraph"/>
        <w:numPr>
          <w:ilvl w:val="0"/>
          <w:numId w:val="2"/>
        </w:numPr>
        <w:spacing w:after="100" w:line="288"/>
        <w:jc w:val="both"/>
      </w:pPr>
      <w:r>
        <w:rPr>
          <w:rFonts w:ascii="Times New Roman" w:cs="Times New Roman" w:eastAsia="Times New Roman" w:hAnsi="Times New Roman"/>
          <w:b/>
          <w:bCs/>
          <w:sz w:val="22"/>
          <w:szCs w:val="22"/>
        </w:rPr>
        <w:t xml:space="preserve">An evaluation design separating safety, rule-related behavior, and robustness.</w:t>
      </w:r>
      <w:r>
        <w:rPr>
          <w:rFonts w:ascii="Times New Roman" w:cs="Times New Roman" w:eastAsia="Times New Roman" w:hAnsi="Times New Roman"/>
          <w:sz w:val="22"/>
          <w:szCs w:val="22"/>
        </w:rPr>
        <w:t xml:space="preserve"> The held-out scenarios, paired target-behavior tests, channel-width sweep, and perception-degradation study distinguish task completion from collision type, encounter violations, and intervention dependence. Pose error, detection dropout, occlusion, and velocity-estimation error are examined to determine when degraded information produces conservative behavior and when it produces unsafe failure. The design also provides a basis for the planned physical-transfer assessment.</w:t>
      </w:r>
    </w:p>
    <w:p>
      <w:pPr>
        <w:spacing w:after="140" w:line="288"/>
        <w:jc w:val="both"/>
      </w:pPr>
      <w:r>
        <w:rPr>
          <w:rFonts w:ascii="Times New Roman" w:cs="Times New Roman" w:eastAsia="Times New Roman" w:hAnsi="Times New Roman"/>
          <w:sz w:val="22"/>
          <w:szCs w:val="22"/>
        </w:rPr>
        <w:t xml:space="preserve">Overall, the paper investigates the interaction between what the vessel perceives, which responses remain geometrically feasible, and what the selected learner does under a common formulation. Its focus is the resulting behavior and its limitations, rather than an assumed advantage of a particular algorithm.</w:t>
      </w:r>
    </w:p>
    <w:p>
      <w:pPr>
        <w:spacing w:after="140" w:line="288"/>
        <w:jc w:val="both"/>
      </w:pPr>
      <w:commentRangeStart w:id="2"/>
      <w:r>
        <w:rPr>
          <w:rFonts w:ascii="Times New Roman" w:cs="Times New Roman" w:eastAsia="Times New Roman" w:hAnsi="Times New Roman"/>
          <w:sz w:val="22"/>
          <w:szCs w:val="22"/>
        </w:rPr>
        <w:t xml:space="preserve">The remainder of the paper is organized as follows. Section 2 presents the formulation: the problem and workspace, the COLREGs scope and the geometric framework for constrained encounter responses, and the frozen perception, observation, reward, and curriculum design. Section 3 describes the learners, the training protocol, the classical comparators, and the evaluation design. Section 4 reports the held-out results, the target-behavior tests, the channel-width sweep, and the perception-degradation study. Section 5 discusses the findings and their limitations, and Section 6 concludes.</w:t>
      </w:r>
      <w:commentRangeEnd w:id="2"/>
      <w:r>
        <w:commentReference w:id="2"/>
      </w:r>
    </w:p>
    <w:p>
      <w:pPr>
        <w:pStyle w:val="Heading1"/>
      </w:pPr>
      <w:commentRangeStart w:id="3"/>
      <w:r>
        <w:rPr>
          <w:rFonts w:ascii="Times New Roman" w:cs="Times New Roman" w:eastAsia="Times New Roman" w:hAnsi="Times New Roman"/>
        </w:rPr>
        <w:t xml:space="preserve">References</w:t>
      </w:r>
      <w:commentRangeEnd w:id="3"/>
      <w:r>
        <w:commentReference w:id="3"/>
      </w:r>
    </w:p>
    <w:p>
      <w:pPr>
        <w:spacing w:after="80" w:line="252"/>
        <w:ind w:left="567" w:hanging="567"/>
        <w:jc w:val="left"/>
      </w:pPr>
      <w:r>
        <w:rPr>
          <w:rFonts w:ascii="Times New Roman" w:cs="Times New Roman" w:eastAsia="Times New Roman" w:hAnsi="Times New Roman"/>
          <w:sz w:val="20"/>
          <w:szCs w:val="20"/>
        </w:rPr>
        <w:t xml:space="preserve">Agarwal, R., Schwarzer, M., Castro, P. S., Courville, A., and Bellemare, M. G. (2021). Deep reinforcement learning at the edge of the statistical precipice. </w:t>
      </w:r>
      <w:r>
        <w:rPr>
          <w:rFonts w:ascii="Times New Roman" w:cs="Times New Roman" w:eastAsia="Times New Roman" w:hAnsi="Times New Roman"/>
          <w:i/>
          <w:iCs/>
          <w:sz w:val="20"/>
          <w:szCs w:val="20"/>
        </w:rPr>
        <w:t xml:space="preserve">Advances in Neural Information Processing Systems, 34</w:t>
      </w:r>
      <w:r>
        <w:rPr>
          <w:rFonts w:ascii="Times New Roman" w:cs="Times New Roman" w:eastAsia="Times New Roman" w:hAnsi="Times New Roman"/>
          <w:sz w:val="20"/>
          <w:szCs w:val="20"/>
        </w:rPr>
        <w:t xml:space="preserve">, 29304–29320.</w:t>
      </w:r>
    </w:p>
    <w:p>
      <w:pPr>
        <w:spacing w:after="80" w:line="252"/>
        <w:ind w:left="567" w:hanging="567"/>
        <w:jc w:val="left"/>
      </w:pPr>
      <w:r>
        <w:rPr>
          <w:rFonts w:ascii="Times New Roman" w:cs="Times New Roman" w:eastAsia="Times New Roman" w:hAnsi="Times New Roman"/>
          <w:sz w:val="20"/>
          <w:szCs w:val="20"/>
        </w:rPr>
        <w:t xml:space="preserve">Burmeister, H.-C., and Constapel, M. (2021). Autonomous collision avoidance at sea: A survey. </w:t>
      </w:r>
      <w:r>
        <w:rPr>
          <w:rFonts w:ascii="Times New Roman" w:cs="Times New Roman" w:eastAsia="Times New Roman" w:hAnsi="Times New Roman"/>
          <w:i/>
          <w:iCs/>
          <w:sz w:val="20"/>
          <w:szCs w:val="20"/>
        </w:rPr>
        <w:t xml:space="preserve">Frontiers in Robotics and AI, 8</w:t>
      </w:r>
      <w:r>
        <w:rPr>
          <w:rFonts w:ascii="Times New Roman" w:cs="Times New Roman" w:eastAsia="Times New Roman" w:hAnsi="Times New Roman"/>
          <w:sz w:val="20"/>
          <w:szCs w:val="20"/>
        </w:rPr>
        <w:t xml:space="preserve">, 739013. doi: 10.3389/frobt.2021.739013.</w:t>
      </w:r>
    </w:p>
    <w:p>
      <w:pPr>
        <w:spacing w:after="80" w:line="252"/>
        <w:ind w:left="567" w:hanging="567"/>
        <w:jc w:val="left"/>
      </w:pPr>
      <w:r>
        <w:rPr>
          <w:rFonts w:ascii="Times New Roman" w:cs="Times New Roman" w:eastAsia="Times New Roman" w:hAnsi="Times New Roman"/>
          <w:sz w:val="20"/>
          <w:szCs w:val="20"/>
        </w:rPr>
        <w:t xml:space="preserve">Chun, D.-H., Roh, M.-I., Lee, H.-W., and Yu, D. (2024). Method for collision avoidance based on deep reinforcement learning with path-speed control for an autonomous ship. </w:t>
      </w:r>
      <w:r>
        <w:rPr>
          <w:rFonts w:ascii="Times New Roman" w:cs="Times New Roman" w:eastAsia="Times New Roman" w:hAnsi="Times New Roman"/>
          <w:i/>
          <w:iCs/>
          <w:sz w:val="20"/>
          <w:szCs w:val="20"/>
        </w:rPr>
        <w:t xml:space="preserve">International Journal of Naval Architecture and Ocean Engineering, 16</w:t>
      </w:r>
      <w:r>
        <w:rPr>
          <w:rFonts w:ascii="Times New Roman" w:cs="Times New Roman" w:eastAsia="Times New Roman" w:hAnsi="Times New Roman"/>
          <w:sz w:val="20"/>
          <w:szCs w:val="20"/>
        </w:rPr>
        <w:t xml:space="preserve">, 100579. doi: 10.1016/j.ijnaoe.2023.100579.</w:t>
      </w:r>
    </w:p>
    <w:p>
      <w:pPr>
        <w:spacing w:after="80" w:line="252"/>
        <w:ind w:left="567" w:hanging="567"/>
        <w:jc w:val="left"/>
      </w:pPr>
      <w:r>
        <w:rPr>
          <w:rFonts w:ascii="Times New Roman" w:cs="Times New Roman" w:eastAsia="Times New Roman" w:hAnsi="Times New Roman"/>
          <w:sz w:val="20"/>
          <w:szCs w:val="20"/>
        </w:rPr>
        <w:t xml:space="preserve">Deraj, R., Kumar, R. S., Alam, M. S., and Somayajula, A. (2023). Deep reinforcement learning based controller for ship navigation. </w:t>
      </w:r>
      <w:r>
        <w:rPr>
          <w:rFonts w:ascii="Times New Roman" w:cs="Times New Roman" w:eastAsia="Times New Roman" w:hAnsi="Times New Roman"/>
          <w:i/>
          <w:iCs/>
          <w:sz w:val="20"/>
          <w:szCs w:val="20"/>
        </w:rPr>
        <w:t xml:space="preserve">Ocean Engineering, 273</w:t>
      </w:r>
      <w:r>
        <w:rPr>
          <w:rFonts w:ascii="Times New Roman" w:cs="Times New Roman" w:eastAsia="Times New Roman" w:hAnsi="Times New Roman"/>
          <w:sz w:val="20"/>
          <w:szCs w:val="20"/>
        </w:rPr>
        <w:t xml:space="preserve">, 113937.</w:t>
      </w:r>
    </w:p>
    <w:p>
      <w:pPr>
        <w:spacing w:after="80" w:line="252"/>
        <w:ind w:left="567" w:hanging="567"/>
        <w:jc w:val="left"/>
      </w:pPr>
      <w:r>
        <w:rPr>
          <w:rFonts w:ascii="Times New Roman" w:cs="Times New Roman" w:eastAsia="Times New Roman" w:hAnsi="Times New Roman"/>
          <w:sz w:val="20"/>
          <w:szCs w:val="20"/>
        </w:rPr>
        <w:t xml:space="preserve">Eriksen, B.-O. H., Breivik, M., Wilthil, E. F., Flåten, A. L., and Brekke, E. F. (2019). The branching-course model predictive control algorithm for maritime collision avoidance. </w:t>
      </w:r>
      <w:r>
        <w:rPr>
          <w:rFonts w:ascii="Times New Roman" w:cs="Times New Roman" w:eastAsia="Times New Roman" w:hAnsi="Times New Roman"/>
          <w:i/>
          <w:iCs/>
          <w:sz w:val="20"/>
          <w:szCs w:val="20"/>
        </w:rPr>
        <w:t xml:space="preserve">Journal of Field Robotics, 36</w:t>
      </w:r>
      <w:r>
        <w:rPr>
          <w:rFonts w:ascii="Times New Roman" w:cs="Times New Roman" w:eastAsia="Times New Roman" w:hAnsi="Times New Roman"/>
          <w:sz w:val="20"/>
          <w:szCs w:val="20"/>
        </w:rPr>
        <w:t xml:space="preserve">(7), 1222–1249.</w:t>
      </w:r>
    </w:p>
    <w:p>
      <w:pPr>
        <w:spacing w:after="80" w:line="252"/>
        <w:ind w:left="567" w:hanging="567"/>
        <w:jc w:val="left"/>
      </w:pPr>
      <w:r>
        <w:rPr>
          <w:rFonts w:ascii="Times New Roman" w:cs="Times New Roman" w:eastAsia="Times New Roman" w:hAnsi="Times New Roman"/>
          <w:sz w:val="20"/>
          <w:szCs w:val="20"/>
        </w:rPr>
        <w:t xml:space="preserve">Fox, D., Burgard, W., and Thrun, S. (1997). The dynamic window approach to collision avoidance. </w:t>
      </w:r>
      <w:r>
        <w:rPr>
          <w:rFonts w:ascii="Times New Roman" w:cs="Times New Roman" w:eastAsia="Times New Roman" w:hAnsi="Times New Roman"/>
          <w:i/>
          <w:iCs/>
          <w:sz w:val="20"/>
          <w:szCs w:val="20"/>
        </w:rPr>
        <w:t xml:space="preserve">IEEE Robotics &amp; Automation Magazine, 4</w:t>
      </w:r>
      <w:r>
        <w:rPr>
          <w:rFonts w:ascii="Times New Roman" w:cs="Times New Roman" w:eastAsia="Times New Roman" w:hAnsi="Times New Roman"/>
          <w:sz w:val="20"/>
          <w:szCs w:val="20"/>
        </w:rPr>
        <w:t xml:space="preserve">(1), 23–33.</w:t>
      </w:r>
    </w:p>
    <w:p>
      <w:pPr>
        <w:spacing w:after="80" w:line="252"/>
        <w:ind w:left="567" w:hanging="567"/>
        <w:jc w:val="left"/>
      </w:pPr>
      <w:r>
        <w:rPr>
          <w:rFonts w:ascii="Times New Roman" w:cs="Times New Roman" w:eastAsia="Times New Roman" w:hAnsi="Times New Roman"/>
          <w:sz w:val="20"/>
          <w:szCs w:val="20"/>
        </w:rPr>
        <w:t xml:space="preserve">García Maza, J. A., and Poo Argüelles, R. (2022). COLREGs and their application in collision avoidance algorithms: A critical analysis. </w:t>
      </w:r>
      <w:r>
        <w:rPr>
          <w:rFonts w:ascii="Times New Roman" w:cs="Times New Roman" w:eastAsia="Times New Roman" w:hAnsi="Times New Roman"/>
          <w:i/>
          <w:iCs/>
          <w:sz w:val="20"/>
          <w:szCs w:val="20"/>
        </w:rPr>
        <w:t xml:space="preserve">Ocean Engineering, 261</w:t>
      </w:r>
      <w:r>
        <w:rPr>
          <w:rFonts w:ascii="Times New Roman" w:cs="Times New Roman" w:eastAsia="Times New Roman" w:hAnsi="Times New Roman"/>
          <w:sz w:val="20"/>
          <w:szCs w:val="20"/>
        </w:rPr>
        <w:t xml:space="preserve">, 112029. doi: 10.1016/j.oceaneng.2022.112029.</w:t>
      </w:r>
    </w:p>
    <w:p>
      <w:pPr>
        <w:spacing w:after="80" w:line="252"/>
        <w:ind w:left="567" w:hanging="567"/>
        <w:jc w:val="left"/>
      </w:pPr>
      <w:r>
        <w:rPr>
          <w:rFonts w:ascii="Times New Roman" w:cs="Times New Roman" w:eastAsia="Times New Roman" w:hAnsi="Times New Roman"/>
          <w:sz w:val="20"/>
          <w:szCs w:val="20"/>
        </w:rPr>
        <w:t xml:space="preserve">Gonzalez-Garcia, A., Collado-Gonzalez, I., Cuan-Urquizo, R., Sotelo, C., Sotelo, D., and Castañeda, H. (2022). Path-following and LiDAR-based obstacle avoidance via NMPC for an autonomous surface vehicle. </w:t>
      </w:r>
      <w:r>
        <w:rPr>
          <w:rFonts w:ascii="Times New Roman" w:cs="Times New Roman" w:eastAsia="Times New Roman" w:hAnsi="Times New Roman"/>
          <w:i/>
          <w:iCs/>
          <w:sz w:val="20"/>
          <w:szCs w:val="20"/>
        </w:rPr>
        <w:t xml:space="preserve">Ocean Engineering, 266</w:t>
      </w:r>
      <w:r>
        <w:rPr>
          <w:rFonts w:ascii="Times New Roman" w:cs="Times New Roman" w:eastAsia="Times New Roman" w:hAnsi="Times New Roman"/>
          <w:sz w:val="20"/>
          <w:szCs w:val="20"/>
        </w:rPr>
        <w:t xml:space="preserve">, 112900. doi: 10.1016/j.oceaneng.2022.112900.</w:t>
      </w:r>
    </w:p>
    <w:p>
      <w:pPr>
        <w:spacing w:after="80" w:line="252"/>
        <w:ind w:left="567" w:hanging="567"/>
        <w:jc w:val="left"/>
      </w:pPr>
      <w:r>
        <w:rPr>
          <w:rFonts w:ascii="Times New Roman" w:cs="Times New Roman" w:eastAsia="Times New Roman" w:hAnsi="Times New Roman"/>
          <w:sz w:val="20"/>
          <w:szCs w:val="20"/>
        </w:rPr>
        <w:t xml:space="preserve">Guan, W., and Wang, K. (2023). Autonomous collision avoidance of unmanned surface vehicles based on improved A-star and dynamic window approach algorithms. </w:t>
      </w:r>
      <w:r>
        <w:rPr>
          <w:rFonts w:ascii="Times New Roman" w:cs="Times New Roman" w:eastAsia="Times New Roman" w:hAnsi="Times New Roman"/>
          <w:i/>
          <w:iCs/>
          <w:sz w:val="20"/>
          <w:szCs w:val="20"/>
        </w:rPr>
        <w:t xml:space="preserve">IEEE Intelligent Transportation Systems Magazine, 15</w:t>
      </w:r>
      <w:r>
        <w:rPr>
          <w:rFonts w:ascii="Times New Roman" w:cs="Times New Roman" w:eastAsia="Times New Roman" w:hAnsi="Times New Roman"/>
          <w:sz w:val="20"/>
          <w:szCs w:val="20"/>
        </w:rPr>
        <w:t xml:space="preserve">(3), 36–50. doi: 10.1109/MITS.2022.3229109.</w:t>
      </w:r>
    </w:p>
    <w:p>
      <w:pPr>
        <w:spacing w:after="80" w:line="252"/>
        <w:ind w:left="567" w:hanging="567"/>
        <w:jc w:val="left"/>
      </w:pPr>
      <w:r>
        <w:rPr>
          <w:rFonts w:ascii="Times New Roman" w:cs="Times New Roman" w:eastAsia="Times New Roman" w:hAnsi="Times New Roman"/>
          <w:sz w:val="20"/>
          <w:szCs w:val="20"/>
        </w:rPr>
        <w:t xml:space="preserve">Hagen, I. B., Vassbotn, O., Skogvold, M., Johansen, T. A., and Brekke, E. F. (2023). Safety and COLREG evaluation for marine collision avoidance algorithms. </w:t>
      </w:r>
      <w:r>
        <w:rPr>
          <w:rFonts w:ascii="Times New Roman" w:cs="Times New Roman" w:eastAsia="Times New Roman" w:hAnsi="Times New Roman"/>
          <w:i/>
          <w:iCs/>
          <w:sz w:val="20"/>
          <w:szCs w:val="20"/>
        </w:rPr>
        <w:t xml:space="preserve">Ocean Engineering, 288</w:t>
      </w:r>
      <w:r>
        <w:rPr>
          <w:rFonts w:ascii="Times New Roman" w:cs="Times New Roman" w:eastAsia="Times New Roman" w:hAnsi="Times New Roman"/>
          <w:sz w:val="20"/>
          <w:szCs w:val="20"/>
        </w:rPr>
        <w:t xml:space="preserve">, 115991. doi: 10.1016/j.oceaneng.2023.115991.</w:t>
      </w:r>
    </w:p>
    <w:p>
      <w:pPr>
        <w:spacing w:after="80" w:line="252"/>
        <w:ind w:left="567" w:hanging="567"/>
        <w:jc w:val="left"/>
      </w:pPr>
      <w:r>
        <w:rPr>
          <w:rFonts w:ascii="Times New Roman" w:cs="Times New Roman" w:eastAsia="Times New Roman" w:hAnsi="Times New Roman"/>
          <w:sz w:val="20"/>
          <w:szCs w:val="20"/>
        </w:rPr>
        <w:t xml:space="preserve">Han, J., Cho, Y., Kim, J., Kim, J., Son, N.-S., and Kim, S. Y. (2020). Autonomous collision detection and avoidance for ARAGON USV: Development and field tests. </w:t>
      </w:r>
      <w:r>
        <w:rPr>
          <w:rFonts w:ascii="Times New Roman" w:cs="Times New Roman" w:eastAsia="Times New Roman" w:hAnsi="Times New Roman"/>
          <w:i/>
          <w:iCs/>
          <w:sz w:val="20"/>
          <w:szCs w:val="20"/>
        </w:rPr>
        <w:t xml:space="preserve">Journal of Field Robotics, 37</w:t>
      </w:r>
      <w:r>
        <w:rPr>
          <w:rFonts w:ascii="Times New Roman" w:cs="Times New Roman" w:eastAsia="Times New Roman" w:hAnsi="Times New Roman"/>
          <w:sz w:val="20"/>
          <w:szCs w:val="20"/>
        </w:rPr>
        <w:t xml:space="preserve">(6), 987–1002. doi: 10.1002/rob.21935.</w:t>
      </w:r>
    </w:p>
    <w:p>
      <w:pPr>
        <w:spacing w:after="80" w:line="252"/>
        <w:ind w:left="567" w:hanging="567"/>
        <w:jc w:val="left"/>
      </w:pPr>
      <w:r>
        <w:rPr>
          <w:rFonts w:ascii="Times New Roman" w:cs="Times New Roman" w:eastAsia="Times New Roman" w:hAnsi="Times New Roman"/>
          <w:sz w:val="20"/>
          <w:szCs w:val="20"/>
        </w:rPr>
        <w:t xml:space="preserve">Han, Z., Wu, D., Zhang, J., Huang, T., Han, Q.-L., and Zhang, M. (2024). COLREGs-adaptive trajectory planning and decision-making in maritime autonomous surface ships. </w:t>
      </w:r>
      <w:r>
        <w:rPr>
          <w:rFonts w:ascii="Times New Roman" w:cs="Times New Roman" w:eastAsia="Times New Roman" w:hAnsi="Times New Roman"/>
          <w:i/>
          <w:iCs/>
          <w:sz w:val="20"/>
          <w:szCs w:val="20"/>
        </w:rPr>
        <w:t xml:space="preserve">Ocean Engineering, 312</w:t>
      </w:r>
      <w:r>
        <w:rPr>
          <w:rFonts w:ascii="Times New Roman" w:cs="Times New Roman" w:eastAsia="Times New Roman" w:hAnsi="Times New Roman"/>
          <w:sz w:val="20"/>
          <w:szCs w:val="20"/>
        </w:rPr>
        <w:t xml:space="preserve">, 119308. doi: 10.1016/j.oceaneng.2024.119308.</w:t>
      </w:r>
    </w:p>
    <w:p>
      <w:pPr>
        <w:spacing w:after="80" w:line="252"/>
        <w:ind w:left="567" w:hanging="567"/>
        <w:jc w:val="left"/>
      </w:pPr>
      <w:r>
        <w:rPr>
          <w:rFonts w:ascii="Times New Roman" w:cs="Times New Roman" w:eastAsia="Times New Roman" w:hAnsi="Times New Roman"/>
          <w:sz w:val="20"/>
          <w:szCs w:val="20"/>
        </w:rPr>
        <w:t xml:space="preserve">Hansen, P. N., Enevoldsen, T. T., Papageorgiou, D., and Blanke, M. (2022). Autonomous navigation in confined waters—A COLREGs Rule 9 compliant framework. </w:t>
      </w:r>
      <w:r>
        <w:rPr>
          <w:rFonts w:ascii="Times New Roman" w:cs="Times New Roman" w:eastAsia="Times New Roman" w:hAnsi="Times New Roman"/>
          <w:i/>
          <w:iCs/>
          <w:sz w:val="20"/>
          <w:szCs w:val="20"/>
        </w:rPr>
        <w:t xml:space="preserve">IFAC-PapersOnLine, 55</w:t>
      </w:r>
      <w:r>
        <w:rPr>
          <w:rFonts w:ascii="Times New Roman" w:cs="Times New Roman" w:eastAsia="Times New Roman" w:hAnsi="Times New Roman"/>
          <w:sz w:val="20"/>
          <w:szCs w:val="20"/>
        </w:rPr>
        <w:t xml:space="preserve">(31), 222–228. doi: 10.1016/j.ifacol.2022.10.435.</w:t>
      </w:r>
    </w:p>
    <w:p>
      <w:pPr>
        <w:spacing w:after="80" w:line="252"/>
        <w:ind w:left="567" w:hanging="567"/>
        <w:jc w:val="left"/>
      </w:pPr>
      <w:r>
        <w:rPr>
          <w:rFonts w:ascii="Times New Roman" w:cs="Times New Roman" w:eastAsia="Times New Roman" w:hAnsi="Times New Roman"/>
          <w:sz w:val="20"/>
          <w:szCs w:val="20"/>
        </w:rPr>
        <w:t xml:space="preserve">Hao, S., Guan, W., Cui, Z., and Lu, J. (2024). USV collision avoidance decision-making based on the improved PPO algorithm in restricted waters. </w:t>
      </w:r>
      <w:r>
        <w:rPr>
          <w:rFonts w:ascii="Times New Roman" w:cs="Times New Roman" w:eastAsia="Times New Roman" w:hAnsi="Times New Roman"/>
          <w:i/>
          <w:iCs/>
          <w:sz w:val="20"/>
          <w:szCs w:val="20"/>
        </w:rPr>
        <w:t xml:space="preserve">Journal of Marine Science and Engineering, 12</w:t>
      </w:r>
      <w:r>
        <w:rPr>
          <w:rFonts w:ascii="Times New Roman" w:cs="Times New Roman" w:eastAsia="Times New Roman" w:hAnsi="Times New Roman"/>
          <w:sz w:val="20"/>
          <w:szCs w:val="20"/>
        </w:rPr>
        <w:t xml:space="preserve">(8), 1428. doi: 10.3390/jmse12081428.</w:t>
      </w:r>
    </w:p>
    <w:p>
      <w:pPr>
        <w:spacing w:after="80" w:line="252"/>
        <w:ind w:left="567" w:hanging="567"/>
        <w:jc w:val="left"/>
      </w:pPr>
      <w:r>
        <w:rPr>
          <w:rFonts w:ascii="Times New Roman" w:cs="Times New Roman" w:eastAsia="Times New Roman" w:hAnsi="Times New Roman"/>
          <w:sz w:val="20"/>
          <w:szCs w:val="20"/>
        </w:rPr>
        <w:t xml:space="preserve">Hart, F., Waltz, M., and Okhrin, O. (2024). Two-step dynamic obstacle avoidance. </w:t>
      </w:r>
      <w:r>
        <w:rPr>
          <w:rFonts w:ascii="Times New Roman" w:cs="Times New Roman" w:eastAsia="Times New Roman" w:hAnsi="Times New Roman"/>
          <w:i/>
          <w:iCs/>
          <w:sz w:val="20"/>
          <w:szCs w:val="20"/>
        </w:rPr>
        <w:t xml:space="preserve">Knowledge-Based Systems, 302</w:t>
      </w:r>
      <w:r>
        <w:rPr>
          <w:rFonts w:ascii="Times New Roman" w:cs="Times New Roman" w:eastAsia="Times New Roman" w:hAnsi="Times New Roman"/>
          <w:sz w:val="20"/>
          <w:szCs w:val="20"/>
        </w:rPr>
        <w:t xml:space="preserve">, 112402. doi: 10.1016/j.knosys.2024.112402.</w:t>
      </w:r>
    </w:p>
    <w:p>
      <w:pPr>
        <w:spacing w:after="80" w:line="252"/>
        <w:ind w:left="567" w:hanging="567"/>
        <w:jc w:val="left"/>
      </w:pPr>
      <w:r>
        <w:rPr>
          <w:rFonts w:ascii="Times New Roman" w:cs="Times New Roman" w:eastAsia="Times New Roman" w:hAnsi="Times New Roman"/>
          <w:sz w:val="20"/>
          <w:szCs w:val="20"/>
        </w:rPr>
        <w:t xml:space="preserve">He, H., Villagómez, J., Van Zwijnsvoorde, T., Lataire, E., and Delefortrie, G. (2025). COLREGs-compliant model predictive collision avoidance for autonomous ships in restricted environments. </w:t>
      </w:r>
      <w:r>
        <w:rPr>
          <w:rFonts w:ascii="Times New Roman" w:cs="Times New Roman" w:eastAsia="Times New Roman" w:hAnsi="Times New Roman"/>
          <w:i/>
          <w:iCs/>
          <w:sz w:val="20"/>
          <w:szCs w:val="20"/>
        </w:rPr>
        <w:t xml:space="preserve">Ocean Engineering, 338</w:t>
      </w:r>
      <w:r>
        <w:rPr>
          <w:rFonts w:ascii="Times New Roman" w:cs="Times New Roman" w:eastAsia="Times New Roman" w:hAnsi="Times New Roman"/>
          <w:sz w:val="20"/>
          <w:szCs w:val="20"/>
        </w:rPr>
        <w:t xml:space="preserve">, 121966. doi: 10.1016/j.oceaneng.2025.121966.</w:t>
      </w:r>
    </w:p>
    <w:p>
      <w:pPr>
        <w:spacing w:after="80" w:line="252"/>
        <w:ind w:left="567" w:hanging="567"/>
        <w:jc w:val="left"/>
      </w:pPr>
      <w:r>
        <w:rPr>
          <w:rFonts w:ascii="Times New Roman" w:cs="Times New Roman" w:eastAsia="Times New Roman" w:hAnsi="Times New Roman"/>
          <w:sz w:val="20"/>
          <w:szCs w:val="20"/>
        </w:rPr>
        <w:t xml:space="preserve">Heiberg, A., Larsen, T. N., Meyer, E., Rasheed, A., San, O., and Varagnolo, D. (2022). Risk-based implementation of COLREGs for autonomous surface vehicles using deep reinforcement learning. </w:t>
      </w:r>
      <w:r>
        <w:rPr>
          <w:rFonts w:ascii="Times New Roman" w:cs="Times New Roman" w:eastAsia="Times New Roman" w:hAnsi="Times New Roman"/>
          <w:i/>
          <w:iCs/>
          <w:sz w:val="20"/>
          <w:szCs w:val="20"/>
        </w:rPr>
        <w:t xml:space="preserve">Neural Networks, 152</w:t>
      </w:r>
      <w:r>
        <w:rPr>
          <w:rFonts w:ascii="Times New Roman" w:cs="Times New Roman" w:eastAsia="Times New Roman" w:hAnsi="Times New Roman"/>
          <w:sz w:val="20"/>
          <w:szCs w:val="20"/>
        </w:rPr>
        <w:t xml:space="preserve">, 17–33. doi: 10.1016/j.neunet.2022.04.008.</w:t>
      </w:r>
    </w:p>
    <w:p>
      <w:pPr>
        <w:spacing w:after="80" w:line="252"/>
        <w:ind w:left="567" w:hanging="567"/>
        <w:jc w:val="left"/>
      </w:pPr>
      <w:r>
        <w:rPr>
          <w:rFonts w:ascii="Times New Roman" w:cs="Times New Roman" w:eastAsia="Times New Roman" w:hAnsi="Times New Roman"/>
          <w:sz w:val="20"/>
          <w:szCs w:val="20"/>
        </w:rPr>
        <w:t xml:space="preserve">Helgesen, Ø. K., Vasstein, K., Brekke, E. F., and Stahl, A. (2022). Heterogeneous multi-sensor tracking for an autonomous surface vehicle in a littoral environment. </w:t>
      </w:r>
      <w:r>
        <w:rPr>
          <w:rFonts w:ascii="Times New Roman" w:cs="Times New Roman" w:eastAsia="Times New Roman" w:hAnsi="Times New Roman"/>
          <w:i/>
          <w:iCs/>
          <w:sz w:val="20"/>
          <w:szCs w:val="20"/>
        </w:rPr>
        <w:t xml:space="preserve">Ocean Engineering, 252</w:t>
      </w:r>
      <w:r>
        <w:rPr>
          <w:rFonts w:ascii="Times New Roman" w:cs="Times New Roman" w:eastAsia="Times New Roman" w:hAnsi="Times New Roman"/>
          <w:sz w:val="20"/>
          <w:szCs w:val="20"/>
        </w:rPr>
        <w:t xml:space="preserve">, 111168. doi: 10.1016/j.oceaneng.2022.111168.</w:t>
      </w:r>
    </w:p>
    <w:p>
      <w:pPr>
        <w:spacing w:after="80" w:line="252"/>
        <w:ind w:left="567" w:hanging="567"/>
        <w:jc w:val="left"/>
      </w:pPr>
      <w:r>
        <w:rPr>
          <w:rFonts w:ascii="Times New Roman" w:cs="Times New Roman" w:eastAsia="Times New Roman" w:hAnsi="Times New Roman"/>
          <w:sz w:val="20"/>
          <w:szCs w:val="20"/>
        </w:rPr>
        <w:t xml:space="preserve">Huang, Y., Chen, L., and van Gelder, P. H. A. J. M. (2019). Generalized velocity obstacle algorithm for preventing ship collisions at sea. </w:t>
      </w:r>
      <w:r>
        <w:rPr>
          <w:rFonts w:ascii="Times New Roman" w:cs="Times New Roman" w:eastAsia="Times New Roman" w:hAnsi="Times New Roman"/>
          <w:i/>
          <w:iCs/>
          <w:sz w:val="20"/>
          <w:szCs w:val="20"/>
        </w:rPr>
        <w:t xml:space="preserve">Ocean Engineering, 173</w:t>
      </w:r>
      <w:r>
        <w:rPr>
          <w:rFonts w:ascii="Times New Roman" w:cs="Times New Roman" w:eastAsia="Times New Roman" w:hAnsi="Times New Roman"/>
          <w:sz w:val="20"/>
          <w:szCs w:val="20"/>
        </w:rPr>
        <w:t xml:space="preserve">, 142–156. doi: 10.1016/j.oceaneng.2018.12.053.</w:t>
      </w:r>
    </w:p>
    <w:p>
      <w:pPr>
        <w:spacing w:after="80" w:line="252"/>
        <w:ind w:left="567" w:hanging="567"/>
        <w:jc w:val="left"/>
      </w:pPr>
      <w:r>
        <w:rPr>
          <w:rFonts w:ascii="Times New Roman" w:cs="Times New Roman" w:eastAsia="Times New Roman" w:hAnsi="Times New Roman"/>
          <w:sz w:val="20"/>
          <w:szCs w:val="20"/>
        </w:rPr>
        <w:t xml:space="preserve">Huang, Y., Chen, L., Chen, P., Negenborn, R. R., and van Gelder, P. H. A. J. M. (2020). Ship collision avoidance methods: State-of-the-art. </w:t>
      </w:r>
      <w:r>
        <w:rPr>
          <w:rFonts w:ascii="Times New Roman" w:cs="Times New Roman" w:eastAsia="Times New Roman" w:hAnsi="Times New Roman"/>
          <w:i/>
          <w:iCs/>
          <w:sz w:val="20"/>
          <w:szCs w:val="20"/>
        </w:rPr>
        <w:t xml:space="preserve">Safety Science, 121</w:t>
      </w:r>
      <w:r>
        <w:rPr>
          <w:rFonts w:ascii="Times New Roman" w:cs="Times New Roman" w:eastAsia="Times New Roman" w:hAnsi="Times New Roman"/>
          <w:sz w:val="20"/>
          <w:szCs w:val="20"/>
        </w:rPr>
        <w:t xml:space="preserve">, 451–473.</w:t>
      </w:r>
    </w:p>
    <w:p>
      <w:pPr>
        <w:spacing w:after="80" w:line="252"/>
        <w:ind w:left="567" w:hanging="567"/>
        <w:jc w:val="left"/>
      </w:pPr>
      <w:r>
        <w:rPr>
          <w:rFonts w:ascii="Times New Roman" w:cs="Times New Roman" w:eastAsia="Times New Roman" w:hAnsi="Times New Roman"/>
          <w:sz w:val="20"/>
          <w:szCs w:val="20"/>
        </w:rPr>
        <w:t xml:space="preserve">International Maritime Organization (IMO). (1972, as amended). </w:t>
      </w:r>
      <w:r>
        <w:rPr>
          <w:rFonts w:ascii="Times New Roman" w:cs="Times New Roman" w:eastAsia="Times New Roman" w:hAnsi="Times New Roman"/>
          <w:i/>
          <w:iCs/>
          <w:sz w:val="20"/>
          <w:szCs w:val="20"/>
        </w:rPr>
        <w:t xml:space="preserve">Convention on the International Regulations for Preventing Collisions at Sea, 1972 (COLREGs)</w:t>
      </w:r>
      <w:r>
        <w:rPr>
          <w:rFonts w:ascii="Times New Roman" w:cs="Times New Roman" w:eastAsia="Times New Roman" w:hAnsi="Times New Roman"/>
          <w:sz w:val="20"/>
          <w:szCs w:val="20"/>
        </w:rPr>
        <w:t xml:space="preserve">. London: IMO.</w:t>
      </w:r>
    </w:p>
    <w:p>
      <w:pPr>
        <w:spacing w:after="80" w:line="252"/>
        <w:ind w:left="567" w:hanging="567"/>
        <w:jc w:val="left"/>
      </w:pPr>
      <w:r>
        <w:rPr>
          <w:rFonts w:ascii="Times New Roman" w:cs="Times New Roman" w:eastAsia="Times New Roman" w:hAnsi="Times New Roman"/>
          <w:sz w:val="20"/>
          <w:szCs w:val="20"/>
        </w:rPr>
        <w:t xml:space="preserve">Johansen, T. A., Perez, T., and Cristofaro, A. (2016). Ship collision avoidance and COLREGS compliance using simulation-based control behavior selection with predictive hazard assessment. </w:t>
      </w:r>
      <w:r>
        <w:rPr>
          <w:rFonts w:ascii="Times New Roman" w:cs="Times New Roman" w:eastAsia="Times New Roman" w:hAnsi="Times New Roman"/>
          <w:i/>
          <w:iCs/>
          <w:sz w:val="20"/>
          <w:szCs w:val="20"/>
        </w:rPr>
        <w:t xml:space="preserve">IEEE Transactions on Intelligent Transportation Systems, 17</w:t>
      </w:r>
      <w:r>
        <w:rPr>
          <w:rFonts w:ascii="Times New Roman" w:cs="Times New Roman" w:eastAsia="Times New Roman" w:hAnsi="Times New Roman"/>
          <w:sz w:val="20"/>
          <w:szCs w:val="20"/>
        </w:rPr>
        <w:t xml:space="preserve">, 3407–3422. doi: 10.1109/TITS.2016.2551780.</w:t>
      </w:r>
    </w:p>
    <w:p>
      <w:pPr>
        <w:spacing w:after="80" w:line="252"/>
        <w:ind w:left="567" w:hanging="567"/>
        <w:jc w:val="left"/>
      </w:pPr>
      <w:r>
        <w:rPr>
          <w:rFonts w:ascii="Times New Roman" w:cs="Times New Roman" w:eastAsia="Times New Roman" w:hAnsi="Times New Roman"/>
          <w:sz w:val="20"/>
          <w:szCs w:val="20"/>
        </w:rPr>
        <w:t xml:space="preserve">Kim, J., Lee, C., Chung, D., Cho, Y., Kim, J., Jang, W., and Park, S. (2024). Field experiment of autonomous ship navigation in canal and surrounding nearshore environments. </w:t>
      </w:r>
      <w:r>
        <w:rPr>
          <w:rFonts w:ascii="Times New Roman" w:cs="Times New Roman" w:eastAsia="Times New Roman" w:hAnsi="Times New Roman"/>
          <w:i/>
          <w:iCs/>
          <w:sz w:val="20"/>
          <w:szCs w:val="20"/>
        </w:rPr>
        <w:t xml:space="preserve">Journal of Field Robotics, 41</w:t>
      </w:r>
      <w:r>
        <w:rPr>
          <w:rFonts w:ascii="Times New Roman" w:cs="Times New Roman" w:eastAsia="Times New Roman" w:hAnsi="Times New Roman"/>
          <w:sz w:val="20"/>
          <w:szCs w:val="20"/>
        </w:rPr>
        <w:t xml:space="preserve">(2), 470–489.</w:t>
      </w:r>
    </w:p>
    <w:p>
      <w:pPr>
        <w:spacing w:after="80" w:line="252"/>
        <w:ind w:left="567" w:hanging="567"/>
        <w:jc w:val="left"/>
      </w:pPr>
      <w:r>
        <w:rPr>
          <w:rFonts w:ascii="Times New Roman" w:cs="Times New Roman" w:eastAsia="Times New Roman" w:hAnsi="Times New Roman"/>
          <w:sz w:val="20"/>
          <w:szCs w:val="20"/>
        </w:rPr>
        <w:t xml:space="preserve">Kim, J.-S., Lee, D.-H., Kim, D.-W., Park, H., Paik, K.-J., and Kim, S. (2022). A numerical and experimental study on the obstacle collision avoidance system using a 2D LiDAR sensor for an autonomous surface vehicle. </w:t>
      </w:r>
      <w:r>
        <w:rPr>
          <w:rFonts w:ascii="Times New Roman" w:cs="Times New Roman" w:eastAsia="Times New Roman" w:hAnsi="Times New Roman"/>
          <w:i/>
          <w:iCs/>
          <w:sz w:val="20"/>
          <w:szCs w:val="20"/>
        </w:rPr>
        <w:t xml:space="preserve">Ocean Engineering, 257</w:t>
      </w:r>
      <w:r>
        <w:rPr>
          <w:rFonts w:ascii="Times New Roman" w:cs="Times New Roman" w:eastAsia="Times New Roman" w:hAnsi="Times New Roman"/>
          <w:sz w:val="20"/>
          <w:szCs w:val="20"/>
        </w:rPr>
        <w:t xml:space="preserve">, 111508. doi: 10.1016/j.oceaneng.2022.111508.</w:t>
      </w:r>
    </w:p>
    <w:p>
      <w:pPr>
        <w:spacing w:after="80" w:line="252"/>
        <w:ind w:left="567" w:hanging="567"/>
        <w:jc w:val="left"/>
      </w:pPr>
      <w:r>
        <w:rPr>
          <w:rFonts w:ascii="Times New Roman" w:cs="Times New Roman" w:eastAsia="Times New Roman" w:hAnsi="Times New Roman"/>
          <w:sz w:val="20"/>
          <w:szCs w:val="20"/>
        </w:rPr>
        <w:t xml:space="preserve">Krasowski, H., and Althoff, M. (2024). Provable traffic rule compliance in safe reinforcement learning on the open sea. </w:t>
      </w:r>
      <w:r>
        <w:rPr>
          <w:rFonts w:ascii="Times New Roman" w:cs="Times New Roman" w:eastAsia="Times New Roman" w:hAnsi="Times New Roman"/>
          <w:i/>
          <w:iCs/>
          <w:sz w:val="20"/>
          <w:szCs w:val="20"/>
        </w:rPr>
        <w:t xml:space="preserve">IEEE Transactions on Intelligent Vehicles, 9</w:t>
      </w:r>
      <w:r>
        <w:rPr>
          <w:rFonts w:ascii="Times New Roman" w:cs="Times New Roman" w:eastAsia="Times New Roman" w:hAnsi="Times New Roman"/>
          <w:sz w:val="20"/>
          <w:szCs w:val="20"/>
        </w:rPr>
        <w:t xml:space="preserve">(12), 7617–7634. doi: 10.1109/TIV.2024.3400597.</w:t>
      </w:r>
    </w:p>
    <w:p>
      <w:pPr>
        <w:spacing w:after="80" w:line="252"/>
        <w:ind w:left="567" w:hanging="567"/>
        <w:jc w:val="left"/>
      </w:pPr>
      <w:r>
        <w:rPr>
          <w:rFonts w:ascii="Times New Roman" w:cs="Times New Roman" w:eastAsia="Times New Roman" w:hAnsi="Times New Roman"/>
          <w:sz w:val="20"/>
          <w:szCs w:val="20"/>
        </w:rPr>
        <w:t xml:space="preserve">Krautwig, B., Wans, D., Li, L., Temmen, T., Koch, L., Eisenbarth, M., and Andert, J. (2025). Navigating the trade-offs: A quantitative analysis of reinforcement learning reward functions for autonomous maritime collision avoidance. </w:t>
      </w:r>
      <w:r>
        <w:rPr>
          <w:rFonts w:ascii="Times New Roman" w:cs="Times New Roman" w:eastAsia="Times New Roman" w:hAnsi="Times New Roman"/>
          <w:i/>
          <w:iCs/>
          <w:sz w:val="20"/>
          <w:szCs w:val="20"/>
        </w:rPr>
        <w:t xml:space="preserve">Journal of Marine Science and Engineering, 13</w:t>
      </w:r>
      <w:r>
        <w:rPr>
          <w:rFonts w:ascii="Times New Roman" w:cs="Times New Roman" w:eastAsia="Times New Roman" w:hAnsi="Times New Roman"/>
          <w:sz w:val="20"/>
          <w:szCs w:val="20"/>
        </w:rPr>
        <w:t xml:space="preserve">(12), 2233. doi: 10.3390/jmse13122233.</w:t>
      </w:r>
    </w:p>
    <w:p>
      <w:pPr>
        <w:spacing w:after="80" w:line="252"/>
        <w:ind w:left="567" w:hanging="567"/>
        <w:jc w:val="left"/>
      </w:pPr>
      <w:r>
        <w:rPr>
          <w:rFonts w:ascii="Times New Roman" w:cs="Times New Roman" w:eastAsia="Times New Roman" w:hAnsi="Times New Roman"/>
          <w:sz w:val="20"/>
          <w:szCs w:val="20"/>
        </w:rPr>
        <w:t xml:space="preserve">Kufoalor, D. K. M., Johansen, T. A., Brekke, E. F., Hepsø, A., and Trnka, K. (2020). Autonomous maritime collision avoidance: Field verification of autonomous surface vehicle behavior in challenging scenarios. </w:t>
      </w:r>
      <w:r>
        <w:rPr>
          <w:rFonts w:ascii="Times New Roman" w:cs="Times New Roman" w:eastAsia="Times New Roman" w:hAnsi="Times New Roman"/>
          <w:i/>
          <w:iCs/>
          <w:sz w:val="20"/>
          <w:szCs w:val="20"/>
        </w:rPr>
        <w:t xml:space="preserve">Journal of Field Robotics, 37</w:t>
      </w:r>
      <w:r>
        <w:rPr>
          <w:rFonts w:ascii="Times New Roman" w:cs="Times New Roman" w:eastAsia="Times New Roman" w:hAnsi="Times New Roman"/>
          <w:sz w:val="20"/>
          <w:szCs w:val="20"/>
        </w:rPr>
        <w:t xml:space="preserve">, 387–403. doi: 10.1002/rob.21919.</w:t>
      </w:r>
    </w:p>
    <w:p>
      <w:pPr>
        <w:spacing w:after="80" w:line="252"/>
        <w:ind w:left="567" w:hanging="567"/>
        <w:jc w:val="left"/>
      </w:pPr>
      <w:r>
        <w:rPr>
          <w:rFonts w:ascii="Times New Roman" w:cs="Times New Roman" w:eastAsia="Times New Roman" w:hAnsi="Times New Roman"/>
          <w:sz w:val="20"/>
          <w:szCs w:val="20"/>
        </w:rPr>
        <w:t xml:space="preserve">Kuwata, Y., Wolf, M. T., Zarzhitsky, D., and Huntsberger, T. L. (2014). Safe maritime autonomous navigation with COLREGS, using velocity obstacles. </w:t>
      </w:r>
      <w:r>
        <w:rPr>
          <w:rFonts w:ascii="Times New Roman" w:cs="Times New Roman" w:eastAsia="Times New Roman" w:hAnsi="Times New Roman"/>
          <w:i/>
          <w:iCs/>
          <w:sz w:val="20"/>
          <w:szCs w:val="20"/>
        </w:rPr>
        <w:t xml:space="preserve">IEEE Journal of Oceanic Engineering, 39</w:t>
      </w:r>
      <w:r>
        <w:rPr>
          <w:rFonts w:ascii="Times New Roman" w:cs="Times New Roman" w:eastAsia="Times New Roman" w:hAnsi="Times New Roman"/>
          <w:sz w:val="20"/>
          <w:szCs w:val="20"/>
        </w:rPr>
        <w:t xml:space="preserve">(1), 110–119. doi: 10.1109/JOE.2013.2254214.</w:t>
      </w:r>
    </w:p>
    <w:p>
      <w:pPr>
        <w:spacing w:after="80" w:line="252"/>
        <w:ind w:left="567" w:hanging="567"/>
        <w:jc w:val="left"/>
      </w:pPr>
      <w:r>
        <w:rPr>
          <w:rFonts w:ascii="Times New Roman" w:cs="Times New Roman" w:eastAsia="Times New Roman" w:hAnsi="Times New Roman"/>
          <w:sz w:val="20"/>
          <w:szCs w:val="20"/>
        </w:rPr>
        <w:t xml:space="preserve">Larsen, T. N., Teigen, H. Ø., Laache, T., Varagnolo, D., and Rasheed, A. (2021). Comparing deep reinforcement learning algorithms' ability to safely navigate challenging waters. </w:t>
      </w:r>
      <w:r>
        <w:rPr>
          <w:rFonts w:ascii="Times New Roman" w:cs="Times New Roman" w:eastAsia="Times New Roman" w:hAnsi="Times New Roman"/>
          <w:i/>
          <w:iCs/>
          <w:sz w:val="20"/>
          <w:szCs w:val="20"/>
        </w:rPr>
        <w:t xml:space="preserve">Frontiers in Robotics and AI, 8</w:t>
      </w:r>
      <w:r>
        <w:rPr>
          <w:rFonts w:ascii="Times New Roman" w:cs="Times New Roman" w:eastAsia="Times New Roman" w:hAnsi="Times New Roman"/>
          <w:sz w:val="20"/>
          <w:szCs w:val="20"/>
        </w:rPr>
        <w:t xml:space="preserve">, 738113. doi: 10.3389/frobt.2021.738113.</w:t>
      </w:r>
    </w:p>
    <w:p>
      <w:pPr>
        <w:spacing w:after="80" w:line="252"/>
        <w:ind w:left="567" w:hanging="567"/>
        <w:jc w:val="left"/>
      </w:pPr>
      <w:r>
        <w:rPr>
          <w:rFonts w:ascii="Times New Roman" w:cs="Times New Roman" w:eastAsia="Times New Roman" w:hAnsi="Times New Roman"/>
          <w:sz w:val="20"/>
          <w:szCs w:val="20"/>
        </w:rPr>
        <w:t xml:space="preserve">Lin, X., Szenher, P., Huang, Y., and Englot, B. (2025). Distributional reinforcement learning based integrated decision making and control for autonomous surface vehicles. </w:t>
      </w:r>
      <w:r>
        <w:rPr>
          <w:rFonts w:ascii="Times New Roman" w:cs="Times New Roman" w:eastAsia="Times New Roman" w:hAnsi="Times New Roman"/>
          <w:i/>
          <w:iCs/>
          <w:sz w:val="20"/>
          <w:szCs w:val="20"/>
        </w:rPr>
        <w:t xml:space="preserve">IEEE Robotics and Automation Letters, 10</w:t>
      </w:r>
      <w:r>
        <w:rPr>
          <w:rFonts w:ascii="Times New Roman" w:cs="Times New Roman" w:eastAsia="Times New Roman" w:hAnsi="Times New Roman"/>
          <w:sz w:val="20"/>
          <w:szCs w:val="20"/>
        </w:rPr>
        <w:t xml:space="preserve">(2), 1194–1201. doi: 10.1109/LRA.2024.3518839.</w:t>
      </w:r>
    </w:p>
    <w:p>
      <w:pPr>
        <w:spacing w:after="80" w:line="252"/>
        <w:ind w:left="567" w:hanging="567"/>
        <w:jc w:val="left"/>
      </w:pPr>
      <w:r>
        <w:rPr>
          <w:rFonts w:ascii="Times New Roman" w:cs="Times New Roman" w:eastAsia="Times New Roman" w:hAnsi="Times New Roman"/>
          <w:sz w:val="20"/>
          <w:szCs w:val="20"/>
        </w:rPr>
        <w:t xml:space="preserve">Lou, M., Yang, X., Hu, J., Zhu, Z., Shen, H., Xiang, Z., and Zhang, B. (2024). A balanced collision avoidance algorithm for USVs in complex environment: A deep reinforcement learning approach. </w:t>
      </w:r>
      <w:r>
        <w:rPr>
          <w:rFonts w:ascii="Times New Roman" w:cs="Times New Roman" w:eastAsia="Times New Roman" w:hAnsi="Times New Roman"/>
          <w:i/>
          <w:iCs/>
          <w:sz w:val="20"/>
          <w:szCs w:val="20"/>
        </w:rPr>
        <w:t xml:space="preserve">IEEE Transactions on Intelligent Transportation Systems, 25</w:t>
      </w:r>
      <w:r>
        <w:rPr>
          <w:rFonts w:ascii="Times New Roman" w:cs="Times New Roman" w:eastAsia="Times New Roman" w:hAnsi="Times New Roman"/>
          <w:sz w:val="20"/>
          <w:szCs w:val="20"/>
        </w:rPr>
        <w:t xml:space="preserve">(12), 21404–21415.</w:t>
      </w:r>
    </w:p>
    <w:p>
      <w:pPr>
        <w:spacing w:after="80" w:line="252"/>
        <w:ind w:left="567" w:hanging="567"/>
        <w:jc w:val="left"/>
      </w:pPr>
      <w:r>
        <w:rPr>
          <w:rFonts w:ascii="Times New Roman" w:cs="Times New Roman" w:eastAsia="Times New Roman" w:hAnsi="Times New Roman"/>
          <w:sz w:val="20"/>
          <w:szCs w:val="20"/>
        </w:rPr>
        <w:t xml:space="preserve">Meyer, E., Robinson, H., Rasheed, A., and San, O. (2020a). Taming an autonomous surface vehicle for path following and collision avoidance using deep reinforcement learning. </w:t>
      </w:r>
      <w:r>
        <w:rPr>
          <w:rFonts w:ascii="Times New Roman" w:cs="Times New Roman" w:eastAsia="Times New Roman" w:hAnsi="Times New Roman"/>
          <w:i/>
          <w:iCs/>
          <w:sz w:val="20"/>
          <w:szCs w:val="20"/>
        </w:rPr>
        <w:t xml:space="preserve">IEEE Access, 8</w:t>
      </w:r>
      <w:r>
        <w:rPr>
          <w:rFonts w:ascii="Times New Roman" w:cs="Times New Roman" w:eastAsia="Times New Roman" w:hAnsi="Times New Roman"/>
          <w:sz w:val="20"/>
          <w:szCs w:val="20"/>
        </w:rPr>
        <w:t xml:space="preserve">, 41466–41481. doi: 10.1109/ACCESS.2020.2976586.</w:t>
      </w:r>
    </w:p>
    <w:p>
      <w:pPr>
        <w:spacing w:after="80" w:line="252"/>
        <w:ind w:left="567" w:hanging="567"/>
        <w:jc w:val="left"/>
      </w:pPr>
      <w:r>
        <w:rPr>
          <w:rFonts w:ascii="Times New Roman" w:cs="Times New Roman" w:eastAsia="Times New Roman" w:hAnsi="Times New Roman"/>
          <w:sz w:val="20"/>
          <w:szCs w:val="20"/>
        </w:rPr>
        <w:t xml:space="preserve">Meyer, E., Heiberg, A., Rasheed, A., and San, O. (2020b). COLREG-compliant collision avoidance for unmanned surface vehicle using deep reinforcement learning. </w:t>
      </w:r>
      <w:r>
        <w:rPr>
          <w:rFonts w:ascii="Times New Roman" w:cs="Times New Roman" w:eastAsia="Times New Roman" w:hAnsi="Times New Roman"/>
          <w:i/>
          <w:iCs/>
          <w:sz w:val="20"/>
          <w:szCs w:val="20"/>
        </w:rPr>
        <w:t xml:space="preserve">IEEE Access, 8</w:t>
      </w:r>
      <w:r>
        <w:rPr>
          <w:rFonts w:ascii="Times New Roman" w:cs="Times New Roman" w:eastAsia="Times New Roman" w:hAnsi="Times New Roman"/>
          <w:sz w:val="20"/>
          <w:szCs w:val="20"/>
        </w:rPr>
        <w:t xml:space="preserve">, 165344–165364. doi: 10.1109/ACCESS.2020.3022600.</w:t>
      </w:r>
    </w:p>
    <w:p>
      <w:pPr>
        <w:spacing w:after="80" w:line="252"/>
        <w:ind w:left="567" w:hanging="567"/>
        <w:jc w:val="left"/>
      </w:pPr>
      <w:r>
        <w:rPr>
          <w:rFonts w:ascii="Times New Roman" w:cs="Times New Roman" w:eastAsia="Times New Roman" w:hAnsi="Times New Roman"/>
          <w:sz w:val="20"/>
          <w:szCs w:val="20"/>
        </w:rPr>
        <w:t xml:space="preserve">Negenborn, R. R., Goerlandt, F., Johansen, T. A., Slaets, P., Valdez Banda, O. A., Vanelslander, T., and Ventikos, N. P. (2023). Autonomous ships are on the horizon: Here's what we need to know. </w:t>
      </w:r>
      <w:r>
        <w:rPr>
          <w:rFonts w:ascii="Times New Roman" w:cs="Times New Roman" w:eastAsia="Times New Roman" w:hAnsi="Times New Roman"/>
          <w:i/>
          <w:iCs/>
          <w:sz w:val="20"/>
          <w:szCs w:val="20"/>
        </w:rPr>
        <w:t xml:space="preserve">Nature, 615</w:t>
      </w:r>
      <w:r>
        <w:rPr>
          <w:rFonts w:ascii="Times New Roman" w:cs="Times New Roman" w:eastAsia="Times New Roman" w:hAnsi="Times New Roman"/>
          <w:sz w:val="20"/>
          <w:szCs w:val="20"/>
        </w:rPr>
        <w:t xml:space="preserve">(7950), 30–33.</w:t>
      </w:r>
    </w:p>
    <w:p>
      <w:pPr>
        <w:spacing w:after="80" w:line="252"/>
        <w:ind w:left="567" w:hanging="567"/>
        <w:jc w:val="left"/>
      </w:pPr>
      <w:r>
        <w:rPr>
          <w:rFonts w:ascii="Times New Roman" w:cs="Times New Roman" w:eastAsia="Times New Roman" w:hAnsi="Times New Roman"/>
          <w:sz w:val="20"/>
          <w:szCs w:val="20"/>
        </w:rPr>
        <w:t xml:space="preserve">Öztürk, Ü., Akdağ, M., and Ayabakan, T. (2022). A review of path planning algorithms in maritime autonomous surface ships: Navigation safety perspective. </w:t>
      </w:r>
      <w:r>
        <w:rPr>
          <w:rFonts w:ascii="Times New Roman" w:cs="Times New Roman" w:eastAsia="Times New Roman" w:hAnsi="Times New Roman"/>
          <w:i/>
          <w:iCs/>
          <w:sz w:val="20"/>
          <w:szCs w:val="20"/>
        </w:rPr>
        <w:t xml:space="preserve">Ocean Engineering, 251</w:t>
      </w:r>
      <w:r>
        <w:rPr>
          <w:rFonts w:ascii="Times New Roman" w:cs="Times New Roman" w:eastAsia="Times New Roman" w:hAnsi="Times New Roman"/>
          <w:sz w:val="20"/>
          <w:szCs w:val="20"/>
        </w:rPr>
        <w:t xml:space="preserve">, 111010.</w:t>
      </w:r>
    </w:p>
    <w:p>
      <w:pPr>
        <w:spacing w:after="80" w:line="252"/>
        <w:ind w:left="567" w:hanging="567"/>
        <w:jc w:val="left"/>
      </w:pPr>
      <w:r>
        <w:rPr>
          <w:rFonts w:ascii="Times New Roman" w:cs="Times New Roman" w:eastAsia="Times New Roman" w:hAnsi="Times New Roman"/>
          <w:sz w:val="20"/>
          <w:szCs w:val="20"/>
        </w:rPr>
        <w:t xml:space="preserve">Patterson, A., Neumann, S., White, M., and White, A. (2024). Empirical design in reinforcement learning. </w:t>
      </w:r>
      <w:r>
        <w:rPr>
          <w:rFonts w:ascii="Times New Roman" w:cs="Times New Roman" w:eastAsia="Times New Roman" w:hAnsi="Times New Roman"/>
          <w:i/>
          <w:iCs/>
          <w:sz w:val="20"/>
          <w:szCs w:val="20"/>
        </w:rPr>
        <w:t xml:space="preserve">Journal of Machine Learning Research, 25</w:t>
      </w:r>
      <w:r>
        <w:rPr>
          <w:rFonts w:ascii="Times New Roman" w:cs="Times New Roman" w:eastAsia="Times New Roman" w:hAnsi="Times New Roman"/>
          <w:sz w:val="20"/>
          <w:szCs w:val="20"/>
        </w:rPr>
        <w:t xml:space="preserve">(318), 1–63.</w:t>
      </w:r>
    </w:p>
    <w:p>
      <w:pPr>
        <w:spacing w:after="80" w:line="252"/>
        <w:ind w:left="567" w:hanging="567"/>
        <w:jc w:val="left"/>
      </w:pPr>
      <w:r>
        <w:rPr>
          <w:rFonts w:ascii="Times New Roman" w:cs="Times New Roman" w:eastAsia="Times New Roman" w:hAnsi="Times New Roman"/>
          <w:sz w:val="20"/>
          <w:szCs w:val="20"/>
        </w:rPr>
        <w:t xml:space="preserve">Paulig, N., and Okhrin, O. (2024). Robust path following on rivers using bootstrapped reinforcement learning. </w:t>
      </w:r>
      <w:r>
        <w:rPr>
          <w:rFonts w:ascii="Times New Roman" w:cs="Times New Roman" w:eastAsia="Times New Roman" w:hAnsi="Times New Roman"/>
          <w:i/>
          <w:iCs/>
          <w:sz w:val="20"/>
          <w:szCs w:val="20"/>
        </w:rPr>
        <w:t xml:space="preserve">Ocean Engineering, 298</w:t>
      </w:r>
      <w:r>
        <w:rPr>
          <w:rFonts w:ascii="Times New Roman" w:cs="Times New Roman" w:eastAsia="Times New Roman" w:hAnsi="Times New Roman"/>
          <w:sz w:val="20"/>
          <w:szCs w:val="20"/>
        </w:rPr>
        <w:t xml:space="preserve">, 117207. doi: 10.1016/j.oceaneng.2024.117207.</w:t>
      </w:r>
    </w:p>
    <w:p>
      <w:pPr>
        <w:spacing w:after="80" w:line="252"/>
        <w:ind w:left="567" w:hanging="567"/>
        <w:jc w:val="left"/>
      </w:pPr>
      <w:r>
        <w:rPr>
          <w:rFonts w:ascii="Times New Roman" w:cs="Times New Roman" w:eastAsia="Times New Roman" w:hAnsi="Times New Roman"/>
          <w:sz w:val="20"/>
          <w:szCs w:val="20"/>
        </w:rPr>
        <w:t xml:space="preserve">Qiao, Y., Yin, J., Wang, W., Duarte, F., Yang, J., and Ratti, C. (2023). Survey of deep learning for autonomous surface vehicles in marine environments. </w:t>
      </w:r>
      <w:r>
        <w:rPr>
          <w:rFonts w:ascii="Times New Roman" w:cs="Times New Roman" w:eastAsia="Times New Roman" w:hAnsi="Times New Roman"/>
          <w:i/>
          <w:iCs/>
          <w:sz w:val="20"/>
          <w:szCs w:val="20"/>
        </w:rPr>
        <w:t xml:space="preserve">IEEE Transactions on Intelligent Transportation Systems, 24</w:t>
      </w:r>
      <w:r>
        <w:rPr>
          <w:rFonts w:ascii="Times New Roman" w:cs="Times New Roman" w:eastAsia="Times New Roman" w:hAnsi="Times New Roman"/>
          <w:sz w:val="20"/>
          <w:szCs w:val="20"/>
        </w:rPr>
        <w:t xml:space="preserve">(4), 3678–3701. doi: 10.1109/TITS.2023.3235911.</w:t>
      </w:r>
    </w:p>
    <w:p>
      <w:pPr>
        <w:spacing w:after="80" w:line="252"/>
        <w:ind w:left="567" w:hanging="567"/>
        <w:jc w:val="left"/>
      </w:pPr>
      <w:r>
        <w:rPr>
          <w:rFonts w:ascii="Times New Roman" w:cs="Times New Roman" w:eastAsia="Times New Roman" w:hAnsi="Times New Roman"/>
          <w:sz w:val="20"/>
          <w:szCs w:val="20"/>
        </w:rPr>
        <w:t xml:space="preserve">Sánchez-González, A., Rodrigues-Tomé, S. R., Cardoso-Mestre, D., and García-Maza, J. A. (2026). Reliability of maritime collision avoidance systems algorithms in the implementation of COLREGs. </w:t>
      </w:r>
      <w:r>
        <w:rPr>
          <w:rFonts w:ascii="Times New Roman" w:cs="Times New Roman" w:eastAsia="Times New Roman" w:hAnsi="Times New Roman"/>
          <w:i/>
          <w:iCs/>
          <w:sz w:val="20"/>
          <w:szCs w:val="20"/>
        </w:rPr>
        <w:t xml:space="preserve">Reliability Engineering &amp; System Safety, 267</w:t>
      </w:r>
      <w:r>
        <w:rPr>
          <w:rFonts w:ascii="Times New Roman" w:cs="Times New Roman" w:eastAsia="Times New Roman" w:hAnsi="Times New Roman"/>
          <w:sz w:val="20"/>
          <w:szCs w:val="20"/>
        </w:rPr>
        <w:t xml:space="preserve">, 111840. doi: 10.1016/j.ress.2025.111840.</w:t>
      </w:r>
    </w:p>
    <w:p>
      <w:pPr>
        <w:spacing w:after="80" w:line="252"/>
        <w:ind w:left="567" w:hanging="567"/>
        <w:jc w:val="left"/>
      </w:pPr>
      <w:r>
        <w:rPr>
          <w:rFonts w:ascii="Times New Roman" w:cs="Times New Roman" w:eastAsia="Times New Roman" w:hAnsi="Times New Roman"/>
          <w:sz w:val="20"/>
          <w:szCs w:val="20"/>
        </w:rPr>
        <w:t xml:space="preserve">Sawada, R., Sato, K., and Majima, T. (2021). Automatic ship collision avoidance using deep reinforcement learning with LSTM in continuous action spaces. </w:t>
      </w:r>
      <w:r>
        <w:rPr>
          <w:rFonts w:ascii="Times New Roman" w:cs="Times New Roman" w:eastAsia="Times New Roman" w:hAnsi="Times New Roman"/>
          <w:i/>
          <w:iCs/>
          <w:sz w:val="20"/>
          <w:szCs w:val="20"/>
        </w:rPr>
        <w:t xml:space="preserve">Journal of Marine Science and Technology, 26</w:t>
      </w:r>
      <w:r>
        <w:rPr>
          <w:rFonts w:ascii="Times New Roman" w:cs="Times New Roman" w:eastAsia="Times New Roman" w:hAnsi="Times New Roman"/>
          <w:sz w:val="20"/>
          <w:szCs w:val="20"/>
        </w:rPr>
        <w:t xml:space="preserve">, 509–524. doi: 10.1007/s00773-020-00755-0.</w:t>
      </w:r>
    </w:p>
    <w:p>
      <w:pPr>
        <w:spacing w:after="80" w:line="252"/>
        <w:ind w:left="567" w:hanging="567"/>
        <w:jc w:val="left"/>
      </w:pPr>
      <w:r>
        <w:rPr>
          <w:rFonts w:ascii="Times New Roman" w:cs="Times New Roman" w:eastAsia="Times New Roman" w:hAnsi="Times New Roman"/>
          <w:sz w:val="20"/>
          <w:szCs w:val="20"/>
        </w:rPr>
        <w:t xml:space="preserve">Slawik, T., Wehbe, B., Christensen, L., and Kirchner, F. (2024). Deep reinforcement learning for path-following control of an autonomous surface vehicle using domain randomization. </w:t>
      </w:r>
      <w:r>
        <w:rPr>
          <w:rFonts w:ascii="Times New Roman" w:cs="Times New Roman" w:eastAsia="Times New Roman" w:hAnsi="Times New Roman"/>
          <w:i/>
          <w:iCs/>
          <w:sz w:val="20"/>
          <w:szCs w:val="20"/>
        </w:rPr>
        <w:t xml:space="preserve">IFAC-PapersOnLine, 58</w:t>
      </w:r>
      <w:r>
        <w:rPr>
          <w:rFonts w:ascii="Times New Roman" w:cs="Times New Roman" w:eastAsia="Times New Roman" w:hAnsi="Times New Roman"/>
          <w:sz w:val="20"/>
          <w:szCs w:val="20"/>
        </w:rPr>
        <w:t xml:space="preserve">(20), 21–26. doi: 10.1016/j.ifacol.2024.10.027.</w:t>
      </w:r>
    </w:p>
    <w:p>
      <w:pPr>
        <w:spacing w:after="80" w:line="252"/>
        <w:ind w:left="567" w:hanging="567"/>
        <w:jc w:val="left"/>
      </w:pPr>
      <w:r>
        <w:rPr>
          <w:rFonts w:ascii="Times New Roman" w:cs="Times New Roman" w:eastAsia="Times New Roman" w:hAnsi="Times New Roman"/>
          <w:sz w:val="20"/>
          <w:szCs w:val="20"/>
        </w:rPr>
        <w:t xml:space="preserve">Sonntag, V., Perrusquía, A., Tsourdos, A., and Guo, W. (2025). A COLREGs compliance reinforcement learning approach for USV manoeuvring in track-following and collision avoidance problems. </w:t>
      </w:r>
      <w:r>
        <w:rPr>
          <w:rFonts w:ascii="Times New Roman" w:cs="Times New Roman" w:eastAsia="Times New Roman" w:hAnsi="Times New Roman"/>
          <w:i/>
          <w:iCs/>
          <w:sz w:val="20"/>
          <w:szCs w:val="20"/>
        </w:rPr>
        <w:t xml:space="preserve">Ocean Engineering, 316</w:t>
      </w:r>
      <w:r>
        <w:rPr>
          <w:rFonts w:ascii="Times New Roman" w:cs="Times New Roman" w:eastAsia="Times New Roman" w:hAnsi="Times New Roman"/>
          <w:sz w:val="20"/>
          <w:szCs w:val="20"/>
        </w:rPr>
        <w:t xml:space="preserve">, 119907. doi: 10.1016/j.oceaneng.2024.119907.</w:t>
      </w:r>
    </w:p>
    <w:p>
      <w:pPr>
        <w:spacing w:after="80" w:line="252"/>
        <w:ind w:left="567" w:hanging="567"/>
        <w:jc w:val="left"/>
      </w:pPr>
      <w:r>
        <w:rPr>
          <w:rFonts w:ascii="Times New Roman" w:cs="Times New Roman" w:eastAsia="Times New Roman" w:hAnsi="Times New Roman"/>
          <w:sz w:val="20"/>
          <w:szCs w:val="20"/>
        </w:rPr>
        <w:t xml:space="preserve">Teitgen, R., Monsuez, B., Kukla, R., Pasquier, R., and Foinet, G. (2023). Dynamic trajectory planning for ships in dense environment using collision grid with deep reinforcement learning. </w:t>
      </w:r>
      <w:r>
        <w:rPr>
          <w:rFonts w:ascii="Times New Roman" w:cs="Times New Roman" w:eastAsia="Times New Roman" w:hAnsi="Times New Roman"/>
          <w:i/>
          <w:iCs/>
          <w:sz w:val="20"/>
          <w:szCs w:val="20"/>
        </w:rPr>
        <w:t xml:space="preserve">Ocean Engineering, 281</w:t>
      </w:r>
      <w:r>
        <w:rPr>
          <w:rFonts w:ascii="Times New Roman" w:cs="Times New Roman" w:eastAsia="Times New Roman" w:hAnsi="Times New Roman"/>
          <w:sz w:val="20"/>
          <w:szCs w:val="20"/>
        </w:rPr>
        <w:t xml:space="preserve">, 114807. doi: 10.1016/j.oceaneng.2023.114807.</w:t>
      </w:r>
    </w:p>
    <w:p>
      <w:pPr>
        <w:spacing w:after="80" w:line="252"/>
        <w:ind w:left="567" w:hanging="567"/>
        <w:jc w:val="left"/>
      </w:pPr>
      <w:r>
        <w:rPr>
          <w:rFonts w:ascii="Times New Roman" w:cs="Times New Roman" w:eastAsia="Times New Roman" w:hAnsi="Times New Roman"/>
          <w:sz w:val="20"/>
          <w:szCs w:val="20"/>
        </w:rPr>
        <w:t xml:space="preserve">Thyri, E. H., and Breivik, M. (2022). Collision avoidance for ASVs through trajectory planning: MPC with COLREGs-compliant nonlinear constraints. </w:t>
      </w:r>
      <w:r>
        <w:rPr>
          <w:rFonts w:ascii="Times New Roman" w:cs="Times New Roman" w:eastAsia="Times New Roman" w:hAnsi="Times New Roman"/>
          <w:i/>
          <w:iCs/>
          <w:sz w:val="20"/>
          <w:szCs w:val="20"/>
        </w:rPr>
        <w:t xml:space="preserve">Modeling, Identification and Control, 43</w:t>
      </w:r>
      <w:r>
        <w:rPr>
          <w:rFonts w:ascii="Times New Roman" w:cs="Times New Roman" w:eastAsia="Times New Roman" w:hAnsi="Times New Roman"/>
          <w:sz w:val="20"/>
          <w:szCs w:val="20"/>
        </w:rPr>
        <w:t xml:space="preserve">(2), 55–77. doi: 10.4173/mic.2022.2.2.</w:t>
      </w:r>
    </w:p>
    <w:p>
      <w:pPr>
        <w:spacing w:after="80" w:line="252"/>
        <w:ind w:left="567" w:hanging="567"/>
        <w:jc w:val="left"/>
      </w:pPr>
      <w:r>
        <w:rPr>
          <w:rFonts w:ascii="Times New Roman" w:cs="Times New Roman" w:eastAsia="Times New Roman" w:hAnsi="Times New Roman"/>
          <w:sz w:val="20"/>
          <w:szCs w:val="20"/>
        </w:rPr>
        <w:t xml:space="preserve">Tran, N. H., Nguyen, H. D., King, P., and Tran, M. (2026). Deep reinforcement learning control for path following and static obstacle avoidance for autonomous surface vessels. </w:t>
      </w:r>
      <w:r>
        <w:rPr>
          <w:rFonts w:ascii="Times New Roman" w:cs="Times New Roman" w:eastAsia="Times New Roman" w:hAnsi="Times New Roman"/>
          <w:i/>
          <w:iCs/>
          <w:sz w:val="20"/>
          <w:szCs w:val="20"/>
        </w:rPr>
        <w:t xml:space="preserve">Drones, 10</w:t>
      </w:r>
      <w:r>
        <w:rPr>
          <w:rFonts w:ascii="Times New Roman" w:cs="Times New Roman" w:eastAsia="Times New Roman" w:hAnsi="Times New Roman"/>
          <w:sz w:val="20"/>
          <w:szCs w:val="20"/>
        </w:rPr>
        <w:t xml:space="preserve">(9), 680. doi: 10.3390/drones10090680.</w:t>
      </w:r>
    </w:p>
    <w:p>
      <w:pPr>
        <w:spacing w:after="80" w:line="252"/>
        <w:ind w:left="567" w:hanging="567"/>
        <w:jc w:val="left"/>
      </w:pPr>
      <w:r>
        <w:rPr>
          <w:rFonts w:ascii="Times New Roman" w:cs="Times New Roman" w:eastAsia="Times New Roman" w:hAnsi="Times New Roman"/>
          <w:sz w:val="20"/>
          <w:szCs w:val="20"/>
        </w:rPr>
        <w:t xml:space="preserve">Vain, J., Tsiopoulos, L., Waldén, M., and Benterki, A. S. (2025). Constraint programming-based verification of COLREG safety. </w:t>
      </w:r>
      <w:r>
        <w:rPr>
          <w:rFonts w:ascii="Times New Roman" w:cs="Times New Roman" w:eastAsia="Times New Roman" w:hAnsi="Times New Roman"/>
          <w:i/>
          <w:iCs/>
          <w:sz w:val="20"/>
          <w:szCs w:val="20"/>
        </w:rPr>
        <w:t xml:space="preserve">IEEE Journal of Oceanic Engineering, 50</w:t>
      </w:r>
      <w:r>
        <w:rPr>
          <w:rFonts w:ascii="Times New Roman" w:cs="Times New Roman" w:eastAsia="Times New Roman" w:hAnsi="Times New Roman"/>
          <w:sz w:val="20"/>
          <w:szCs w:val="20"/>
        </w:rPr>
        <w:t xml:space="preserve">(4), 2797–2821. doi: 10.1109/JOE.2025.3592285.</w:t>
      </w:r>
    </w:p>
    <w:p>
      <w:pPr>
        <w:spacing w:after="80" w:line="252"/>
        <w:ind w:left="567" w:hanging="567"/>
        <w:jc w:val="left"/>
      </w:pPr>
      <w:r>
        <w:rPr>
          <w:rFonts w:ascii="Times New Roman" w:cs="Times New Roman" w:eastAsia="Times New Roman" w:hAnsi="Times New Roman"/>
          <w:sz w:val="20"/>
          <w:szCs w:val="20"/>
        </w:rPr>
        <w:t xml:space="preserve">Villa, J., Aaltonen, J., and Koskinen, K. T. (2020). Path-following with LiDAR-based obstacle avoidance of an unmanned surface vehicle in harbor conditions. </w:t>
      </w:r>
      <w:r>
        <w:rPr>
          <w:rFonts w:ascii="Times New Roman" w:cs="Times New Roman" w:eastAsia="Times New Roman" w:hAnsi="Times New Roman"/>
          <w:i/>
          <w:iCs/>
          <w:sz w:val="20"/>
          <w:szCs w:val="20"/>
        </w:rPr>
        <w:t xml:space="preserve">IEEE/ASME Transactions on Mechatronics, 25</w:t>
      </w:r>
      <w:r>
        <w:rPr>
          <w:rFonts w:ascii="Times New Roman" w:cs="Times New Roman" w:eastAsia="Times New Roman" w:hAnsi="Times New Roman"/>
          <w:sz w:val="20"/>
          <w:szCs w:val="20"/>
        </w:rPr>
        <w:t xml:space="preserve">(4), 1812–1820. doi: 10.1109/TMECH.2020.2997970.</w:t>
      </w:r>
    </w:p>
    <w:p>
      <w:pPr>
        <w:spacing w:after="80" w:line="252"/>
        <w:ind w:left="567" w:hanging="567"/>
        <w:jc w:val="left"/>
      </w:pPr>
      <w:r>
        <w:rPr>
          <w:rFonts w:ascii="Times New Roman" w:cs="Times New Roman" w:eastAsia="Times New Roman" w:hAnsi="Times New Roman"/>
          <w:sz w:val="20"/>
          <w:szCs w:val="20"/>
        </w:rPr>
        <w:t xml:space="preserve">Waltz, M., and Okhrin, O. (2023). Spatial–temporal recurrent reinforcement learning for autonomous ships. </w:t>
      </w:r>
      <w:r>
        <w:rPr>
          <w:rFonts w:ascii="Times New Roman" w:cs="Times New Roman" w:eastAsia="Times New Roman" w:hAnsi="Times New Roman"/>
          <w:i/>
          <w:iCs/>
          <w:sz w:val="20"/>
          <w:szCs w:val="20"/>
        </w:rPr>
        <w:t xml:space="preserve">Neural Networks, 165</w:t>
      </w:r>
      <w:r>
        <w:rPr>
          <w:rFonts w:ascii="Times New Roman" w:cs="Times New Roman" w:eastAsia="Times New Roman" w:hAnsi="Times New Roman"/>
          <w:sz w:val="20"/>
          <w:szCs w:val="20"/>
        </w:rPr>
        <w:t xml:space="preserve">, 634–653. doi: 10.1016/j.neunet.2023.06.015.</w:t>
      </w:r>
    </w:p>
    <w:p>
      <w:pPr>
        <w:spacing w:after="80" w:line="252"/>
        <w:ind w:left="567" w:hanging="567"/>
        <w:jc w:val="left"/>
      </w:pPr>
      <w:r>
        <w:rPr>
          <w:rFonts w:ascii="Times New Roman" w:cs="Times New Roman" w:eastAsia="Times New Roman" w:hAnsi="Times New Roman"/>
          <w:sz w:val="20"/>
          <w:szCs w:val="20"/>
        </w:rPr>
        <w:t xml:space="preserve">Waltz, M., Paulig, N., and Okhrin, O. (2025). 2-level reinforcement learning for ships on inland waterways: Path planning and following. </w:t>
      </w:r>
      <w:r>
        <w:rPr>
          <w:rFonts w:ascii="Times New Roman" w:cs="Times New Roman" w:eastAsia="Times New Roman" w:hAnsi="Times New Roman"/>
          <w:i/>
          <w:iCs/>
          <w:sz w:val="20"/>
          <w:szCs w:val="20"/>
        </w:rPr>
        <w:t xml:space="preserve">Expert Systems with Applications, 274</w:t>
      </w:r>
      <w:r>
        <w:rPr>
          <w:rFonts w:ascii="Times New Roman" w:cs="Times New Roman" w:eastAsia="Times New Roman" w:hAnsi="Times New Roman"/>
          <w:sz w:val="20"/>
          <w:szCs w:val="20"/>
        </w:rPr>
        <w:t xml:space="preserve">, 126933. doi: 10.1016/j.eswa.2025.126933.</w:t>
      </w:r>
    </w:p>
    <w:p>
      <w:pPr>
        <w:spacing w:after="80" w:line="252"/>
        <w:ind w:left="567" w:hanging="567"/>
        <w:jc w:val="left"/>
      </w:pPr>
      <w:r>
        <w:rPr>
          <w:rFonts w:ascii="Times New Roman" w:cs="Times New Roman" w:eastAsia="Times New Roman" w:hAnsi="Times New Roman"/>
          <w:sz w:val="20"/>
          <w:szCs w:val="20"/>
        </w:rPr>
        <w:t xml:space="preserve">Wang, C., Zhang, X., Gao, H., Bashir, M., Li, H., and Yang, Z. (2024). COLERGs-constrained safe reinforcement learning for realising MASS's risk-informed collision avoidance decision making. </w:t>
      </w:r>
      <w:r>
        <w:rPr>
          <w:rFonts w:ascii="Times New Roman" w:cs="Times New Roman" w:eastAsia="Times New Roman" w:hAnsi="Times New Roman"/>
          <w:i/>
          <w:iCs/>
          <w:sz w:val="20"/>
          <w:szCs w:val="20"/>
        </w:rPr>
        <w:t xml:space="preserve">Knowledge-Based Systems, 300</w:t>
      </w:r>
      <w:r>
        <w:rPr>
          <w:rFonts w:ascii="Times New Roman" w:cs="Times New Roman" w:eastAsia="Times New Roman" w:hAnsi="Times New Roman"/>
          <w:sz w:val="20"/>
          <w:szCs w:val="20"/>
        </w:rPr>
        <w:t xml:space="preserve">, 112205. doi: 10.1016/j.knosys.2024.112205.</w:t>
      </w:r>
    </w:p>
    <w:p>
      <w:pPr>
        <w:spacing w:after="80" w:line="252"/>
        <w:ind w:left="567" w:hanging="567"/>
        <w:jc w:val="left"/>
      </w:pPr>
      <w:r>
        <w:rPr>
          <w:rFonts w:ascii="Times New Roman" w:cs="Times New Roman" w:eastAsia="Times New Roman" w:hAnsi="Times New Roman"/>
          <w:sz w:val="20"/>
          <w:szCs w:val="20"/>
        </w:rPr>
        <w:t xml:space="preserve">Wang, Y., Li, Z., Wang, L., and Wang, X. (2025). Autonomous navigation control and collision avoidance decision-making of an under-actuated ASV based on deep reinforcement learning. </w:t>
      </w:r>
      <w:r>
        <w:rPr>
          <w:rFonts w:ascii="Times New Roman" w:cs="Times New Roman" w:eastAsia="Times New Roman" w:hAnsi="Times New Roman"/>
          <w:i/>
          <w:iCs/>
          <w:sz w:val="20"/>
          <w:szCs w:val="20"/>
        </w:rPr>
        <w:t xml:space="preserve">Journal of Marine Science and Engineering, 13</w:t>
      </w:r>
      <w:r>
        <w:rPr>
          <w:rFonts w:ascii="Times New Roman" w:cs="Times New Roman" w:eastAsia="Times New Roman" w:hAnsi="Times New Roman"/>
          <w:sz w:val="20"/>
          <w:szCs w:val="20"/>
        </w:rPr>
        <w:t xml:space="preserve">(11), 2108. doi: 10.3390/jmse13112108.</w:t>
      </w:r>
    </w:p>
    <w:p>
      <w:pPr>
        <w:spacing w:after="80" w:line="252"/>
        <w:ind w:left="567" w:hanging="567"/>
        <w:jc w:val="left"/>
      </w:pPr>
      <w:r>
        <w:rPr>
          <w:rFonts w:ascii="Times New Roman" w:cs="Times New Roman" w:eastAsia="Times New Roman" w:hAnsi="Times New Roman"/>
          <w:sz w:val="20"/>
          <w:szCs w:val="20"/>
        </w:rPr>
        <w:t xml:space="preserve">Woo, J., Yu, C., and Kim, N. (2019). Deep reinforcement learning-based controller for path following of an unmanned surface vehicle. </w:t>
      </w:r>
      <w:r>
        <w:rPr>
          <w:rFonts w:ascii="Times New Roman" w:cs="Times New Roman" w:eastAsia="Times New Roman" w:hAnsi="Times New Roman"/>
          <w:i/>
          <w:iCs/>
          <w:sz w:val="20"/>
          <w:szCs w:val="20"/>
        </w:rPr>
        <w:t xml:space="preserve">Ocean Engineering, 183</w:t>
      </w:r>
      <w:r>
        <w:rPr>
          <w:rFonts w:ascii="Times New Roman" w:cs="Times New Roman" w:eastAsia="Times New Roman" w:hAnsi="Times New Roman"/>
          <w:sz w:val="20"/>
          <w:szCs w:val="20"/>
        </w:rPr>
        <w:t xml:space="preserve">, 155–166. doi: 10.1016/j.oceaneng.2019.04.099.</w:t>
      </w:r>
    </w:p>
    <w:p>
      <w:pPr>
        <w:spacing w:after="80" w:line="252"/>
        <w:ind w:left="567" w:hanging="567"/>
        <w:jc w:val="left"/>
      </w:pPr>
      <w:r>
        <w:rPr>
          <w:rFonts w:ascii="Times New Roman" w:cs="Times New Roman" w:eastAsia="Times New Roman" w:hAnsi="Times New Roman"/>
          <w:sz w:val="20"/>
          <w:szCs w:val="20"/>
        </w:rPr>
        <w:t xml:space="preserve">Wu, X., Wei, C., Guan, D., and Ji, Z. (2025a). Risk-aware deep reinforcement learning for mapless navigation of unmanned surface vehicles in uncertain and congested environments. </w:t>
      </w:r>
      <w:r>
        <w:rPr>
          <w:rFonts w:ascii="Times New Roman" w:cs="Times New Roman" w:eastAsia="Times New Roman" w:hAnsi="Times New Roman"/>
          <w:i/>
          <w:iCs/>
          <w:sz w:val="20"/>
          <w:szCs w:val="20"/>
        </w:rPr>
        <w:t xml:space="preserve">Ocean Engineering, 322</w:t>
      </w:r>
      <w:r>
        <w:rPr>
          <w:rFonts w:ascii="Times New Roman" w:cs="Times New Roman" w:eastAsia="Times New Roman" w:hAnsi="Times New Roman"/>
          <w:sz w:val="20"/>
          <w:szCs w:val="20"/>
        </w:rPr>
        <w:t xml:space="preserve">, 120446. doi: 10.1016/j.oceaneng.2025.120446.</w:t>
      </w:r>
    </w:p>
    <w:p>
      <w:pPr>
        <w:spacing w:after="80" w:line="252"/>
        <w:ind w:left="567" w:hanging="567"/>
        <w:jc w:val="left"/>
      </w:pPr>
      <w:r>
        <w:rPr>
          <w:rFonts w:ascii="Times New Roman" w:cs="Times New Roman" w:eastAsia="Times New Roman" w:hAnsi="Times New Roman"/>
          <w:sz w:val="20"/>
          <w:szCs w:val="20"/>
        </w:rPr>
        <w:t xml:space="preserve">Wu, Y., Liu, J., Li, X., Xiao, J., Zhang, T., Xu, H., and Zhang, L. (2025b). Towards LLM enhanced decision: A survey on reinforcement learning based ship collision avoidance. </w:t>
      </w:r>
      <w:r>
        <w:rPr>
          <w:rFonts w:ascii="Times New Roman" w:cs="Times New Roman" w:eastAsia="Times New Roman" w:hAnsi="Times New Roman"/>
          <w:i/>
          <w:iCs/>
          <w:sz w:val="20"/>
          <w:szCs w:val="20"/>
        </w:rPr>
        <w:t xml:space="preserve">Journal of Marine Science and Engineering, 13</w:t>
      </w:r>
      <w:r>
        <w:rPr>
          <w:rFonts w:ascii="Times New Roman" w:cs="Times New Roman" w:eastAsia="Times New Roman" w:hAnsi="Times New Roman"/>
          <w:sz w:val="20"/>
          <w:szCs w:val="20"/>
        </w:rPr>
        <w:t xml:space="preserve">(12), 2275. doi: 10.3390/jmse13122275.</w:t>
      </w:r>
    </w:p>
    <w:p>
      <w:pPr>
        <w:spacing w:after="80" w:line="252"/>
        <w:ind w:left="567" w:hanging="567"/>
        <w:jc w:val="left"/>
      </w:pPr>
      <w:r>
        <w:rPr>
          <w:rFonts w:ascii="Times New Roman" w:cs="Times New Roman" w:eastAsia="Times New Roman" w:hAnsi="Times New Roman"/>
          <w:sz w:val="20"/>
          <w:szCs w:val="20"/>
        </w:rPr>
        <w:t xml:space="preserve">Xu, D., Yang, J., Zhou, X., and Xu, H. (2024). Hybrid path planning method for USV using bidirectional A∗ and improved DWA considering the manoeuvrability and COLREGs. </w:t>
      </w:r>
      <w:r>
        <w:rPr>
          <w:rFonts w:ascii="Times New Roman" w:cs="Times New Roman" w:eastAsia="Times New Roman" w:hAnsi="Times New Roman"/>
          <w:i/>
          <w:iCs/>
          <w:sz w:val="20"/>
          <w:szCs w:val="20"/>
        </w:rPr>
        <w:t xml:space="preserve">Ocean Engineering, 298</w:t>
      </w:r>
      <w:r>
        <w:rPr>
          <w:rFonts w:ascii="Times New Roman" w:cs="Times New Roman" w:eastAsia="Times New Roman" w:hAnsi="Times New Roman"/>
          <w:sz w:val="20"/>
          <w:szCs w:val="20"/>
        </w:rPr>
        <w:t xml:space="preserve">, 117210. doi: 10.1016/j.oceaneng.2024.117210.</w:t>
      </w:r>
    </w:p>
    <w:p>
      <w:pPr>
        <w:spacing w:after="80" w:line="252"/>
        <w:ind w:left="567" w:hanging="567"/>
        <w:jc w:val="left"/>
      </w:pPr>
      <w:r>
        <w:rPr>
          <w:rFonts w:ascii="Times New Roman" w:cs="Times New Roman" w:eastAsia="Times New Roman" w:hAnsi="Times New Roman"/>
          <w:sz w:val="20"/>
          <w:szCs w:val="20"/>
        </w:rPr>
        <w:t xml:space="preserve">Yang, X., Lou, M., Hu, J., Ye, H., Zhu, Z., Shen, H., Xiang, Z., and Zhang, B. (2024). A human-like collision avoidance method for USVs based on deep reinforcement learning and velocity obstacle. </w:t>
      </w:r>
      <w:r>
        <w:rPr>
          <w:rFonts w:ascii="Times New Roman" w:cs="Times New Roman" w:eastAsia="Times New Roman" w:hAnsi="Times New Roman"/>
          <w:i/>
          <w:iCs/>
          <w:sz w:val="20"/>
          <w:szCs w:val="20"/>
        </w:rPr>
        <w:t xml:space="preserve">Expert Systems with Applications, 254</w:t>
      </w:r>
      <w:r>
        <w:rPr>
          <w:rFonts w:ascii="Times New Roman" w:cs="Times New Roman" w:eastAsia="Times New Roman" w:hAnsi="Times New Roman"/>
          <w:sz w:val="20"/>
          <w:szCs w:val="20"/>
        </w:rPr>
        <w:t xml:space="preserve">, 124388. doi: 10.1016/j.eswa.2024.124388.</w:t>
      </w:r>
    </w:p>
    <w:p>
      <w:pPr>
        <w:spacing w:after="80" w:line="252"/>
        <w:ind w:left="567" w:hanging="567"/>
        <w:jc w:val="left"/>
      </w:pPr>
      <w:r>
        <w:rPr>
          <w:rFonts w:ascii="Times New Roman" w:cs="Times New Roman" w:eastAsia="Times New Roman" w:hAnsi="Times New Roman"/>
          <w:sz w:val="20"/>
          <w:szCs w:val="20"/>
        </w:rPr>
        <w:t xml:space="preserve">Zhang, Q., Pan, W., and Reppa, V. (2022). Model-reference reinforcement learning for collision-free tracking control of autonomous surface vehicles. </w:t>
      </w:r>
      <w:r>
        <w:rPr>
          <w:rFonts w:ascii="Times New Roman" w:cs="Times New Roman" w:eastAsia="Times New Roman" w:hAnsi="Times New Roman"/>
          <w:i/>
          <w:iCs/>
          <w:sz w:val="20"/>
          <w:szCs w:val="20"/>
        </w:rPr>
        <w:t xml:space="preserve">IEEE Transactions on Intelligent Transportation Systems, 23</w:t>
      </w:r>
      <w:r>
        <w:rPr>
          <w:rFonts w:ascii="Times New Roman" w:cs="Times New Roman" w:eastAsia="Times New Roman" w:hAnsi="Times New Roman"/>
          <w:sz w:val="20"/>
          <w:szCs w:val="20"/>
        </w:rPr>
        <w:t xml:space="preserve">(7), 8770–8781.</w:t>
      </w:r>
    </w:p>
    <w:p>
      <w:pPr>
        <w:spacing w:after="80" w:line="252"/>
        <w:ind w:left="567" w:hanging="567"/>
        <w:jc w:val="left"/>
      </w:pPr>
      <w:r>
        <w:rPr>
          <w:rFonts w:ascii="Times New Roman" w:cs="Times New Roman" w:eastAsia="Times New Roman" w:hAnsi="Times New Roman"/>
          <w:sz w:val="20"/>
          <w:szCs w:val="20"/>
        </w:rPr>
        <w:t xml:space="preserve">Zhao, L., and Roh, M.-I. (2019). COLREGs-compliant multiship collision avoidance based on deep reinforcement learning. </w:t>
      </w:r>
      <w:r>
        <w:rPr>
          <w:rFonts w:ascii="Times New Roman" w:cs="Times New Roman" w:eastAsia="Times New Roman" w:hAnsi="Times New Roman"/>
          <w:i/>
          <w:iCs/>
          <w:sz w:val="20"/>
          <w:szCs w:val="20"/>
        </w:rPr>
        <w:t xml:space="preserve">Ocean Engineering, 191</w:t>
      </w:r>
      <w:r>
        <w:rPr>
          <w:rFonts w:ascii="Times New Roman" w:cs="Times New Roman" w:eastAsia="Times New Roman" w:hAnsi="Times New Roman"/>
          <w:sz w:val="20"/>
          <w:szCs w:val="20"/>
        </w:rPr>
        <w:t xml:space="preserve">, 106436. doi: 10.1016/j.oceaneng.2019.106436.</w:t>
      </w:r>
    </w:p>
    <w:p>
      <w:pPr>
        <w:spacing w:after="80" w:line="252"/>
        <w:ind w:left="567" w:hanging="567"/>
        <w:jc w:val="left"/>
      </w:pPr>
      <w:r>
        <w:rPr>
          <w:rFonts w:ascii="Times New Roman" w:cs="Times New Roman" w:eastAsia="Times New Roman" w:hAnsi="Times New Roman"/>
          <w:sz w:val="20"/>
          <w:szCs w:val="20"/>
        </w:rPr>
        <w:t xml:space="preserve">Zhao, Y., Qi, X., Ma, Y., Li, Z., Malekian, R., and Sotelo, M. A. (2021). Path following optimization for an underactuated USV using smoothly-convergent deep reinforcement learning. </w:t>
      </w:r>
      <w:r>
        <w:rPr>
          <w:rFonts w:ascii="Times New Roman" w:cs="Times New Roman" w:eastAsia="Times New Roman" w:hAnsi="Times New Roman"/>
          <w:i/>
          <w:iCs/>
          <w:sz w:val="20"/>
          <w:szCs w:val="20"/>
        </w:rPr>
        <w:t xml:space="preserve">IEEE Transactions on Intelligent Transportation Systems, 22</w:t>
      </w:r>
      <w:r>
        <w:rPr>
          <w:rFonts w:ascii="Times New Roman" w:cs="Times New Roman" w:eastAsia="Times New Roman" w:hAnsi="Times New Roman"/>
          <w:sz w:val="20"/>
          <w:szCs w:val="20"/>
        </w:rPr>
        <w:t xml:space="preserve">(10), 6208–6220.</w:t>
      </w:r>
    </w:p>
    <w:p>
      <w:pPr>
        <w:spacing w:after="80" w:line="252"/>
        <w:ind w:left="567" w:hanging="567"/>
        <w:jc w:val="left"/>
      </w:pPr>
      <w:r>
        <w:rPr>
          <w:rFonts w:ascii="Times New Roman" w:cs="Times New Roman" w:eastAsia="Times New Roman" w:hAnsi="Times New Roman"/>
          <w:sz w:val="20"/>
          <w:szCs w:val="20"/>
        </w:rPr>
        <w:t xml:space="preserve">Zheng, K., Zhang, X., Wang, C., Zhang, M., and Cui, H. (2023). A partially observable multi-ship collision avoidance decision-making model based on deep reinforcement learning. </w:t>
      </w:r>
      <w:r>
        <w:rPr>
          <w:rFonts w:ascii="Times New Roman" w:cs="Times New Roman" w:eastAsia="Times New Roman" w:hAnsi="Times New Roman"/>
          <w:i/>
          <w:iCs/>
          <w:sz w:val="20"/>
          <w:szCs w:val="20"/>
        </w:rPr>
        <w:t xml:space="preserve">Ocean &amp; Coastal Management, 242</w:t>
      </w:r>
      <w:r>
        <w:rPr>
          <w:rFonts w:ascii="Times New Roman" w:cs="Times New Roman" w:eastAsia="Times New Roman" w:hAnsi="Times New Roman"/>
          <w:sz w:val="20"/>
          <w:szCs w:val="20"/>
        </w:rPr>
        <w:t xml:space="preserve">, 106689.</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 w:author="Claude" w:date="2026-09-28T09:00:00.000Z">
    <w:p>
      <w:r>
        <w:rPr>
          <w:rFonts w:ascii="Times New Roman" w:cs="Times New Roman" w:eastAsia="Times New Roman" w:hAnsi="Times New Roman"/>
          <w:sz w:val="18"/>
          <w:szCs w:val="18"/>
        </w:rPr>
        <w:t xml:space="preserve">The APF comparison and the AIS-derived validation scenarios are confirmed in the arXiv version (2307.16769); check that the Expert Systems with Applications version reports them the same way.</w:t>
      </w:r>
    </w:p>
  </w:comment>
  <w:comment w:id="1" w:initials="C" w:author="Claude" w:date="2026-09-28T09:00:00.000Z">
    <w:p>
      <w:r>
        <w:rPr>
          <w:rFonts w:ascii="Times New Roman" w:cs="Times New Roman" w:eastAsia="Times New Roman" w:hAnsi="Times New Roman"/>
          <w:sz w:val="18"/>
          <w:szCs w:val="18"/>
        </w:rPr>
        <w:t xml:space="preserve">Characterization of the reviewed set. The nearest exception is Lin et al. (2025): LiDAR segmentation at evaluation, noise-perturbed simulator states in training. Keep the qualifier.</w:t>
      </w:r>
    </w:p>
  </w:comment>
  <w:comment w:id="2" w:initials="C" w:author="Claude" w:date="2026-09-28T09:00:00.000Z">
    <w:p>
      <w:r>
        <w:rPr>
          <w:rFonts w:ascii="Times New Roman" w:cs="Times New Roman" w:eastAsia="Times New Roman" w:hAnsi="Times New Roman"/>
          <w:sz w:val="18"/>
          <w:szCs w:val="18"/>
        </w:rPr>
        <w:t xml:space="preserve">Organization paragraph added. If the basin trials enter this paper, insert them as Section 5 and renumber Discussion and Conclusion to 6 and 7.</w:t>
      </w:r>
    </w:p>
  </w:comment>
  <w:comment w:id="3" w:initials="C" w:author="Claude" w:date="2026-09-28T09:00:00.000Z">
    <w:p>
      <w:r>
        <w:rPr>
          <w:rFonts w:ascii="Times New Roman" w:cs="Times New Roman" w:eastAsia="Times New Roman" w:hAnsi="Times New Roman"/>
          <w:sz w:val="18"/>
          <w:szCs w:val="18"/>
        </w:rPr>
        <w:t xml:space="preserve">Every entry was checked against the publisher, DBLP, an institutional repository, or the reference list of a published paper. Entries without a DOI still need one from the reference manager. Confirm venue quartiles in JCR or SJR for the submission year; they vary by category and year. The typo COLERGs in Wang et al. (2024) is in the published title.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5" w:hanging="425"/>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00" w:before="22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 Introduction (draft 4)</dc:title>
  <dc:creator>H. N. Tran</dc:creator>
  <cp:lastModifiedBy>Un-named</cp:lastModifiedBy>
  <cp:revision>1</cp:revision>
  <dcterms:created xsi:type="dcterms:W3CDTF">2026-09-28T02:35:34.334Z</dcterms:created>
  <dcterms:modified xsi:type="dcterms:W3CDTF">2026-09-28T02:35:34.337Z</dcterms:modified>
</cp:coreProperties>
</file>

<file path=docProps/custom.xml><?xml version="1.0" encoding="utf-8"?>
<Properties xmlns="http://schemas.openxmlformats.org/officeDocument/2006/custom-properties" xmlns:vt="http://schemas.openxmlformats.org/officeDocument/2006/docPropsVTypes"/>
</file>