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Input Collection Output - Steps 1 and 2</w:t>
      </w:r>
    </w:p>
    <w:p>
      <w:r>
        <w:rPr>
          <w:color w:val="3C4043"/>
          <w:sz w:val="20"/>
        </w:rPr>
        <w:t>Purpose: capture request intake and scope definition data before performance test design begins.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112"/>
        <w:gridCol w:w="5112"/>
      </w:tblGrid>
      <w:tr>
        <w:tc>
          <w:tcPr>
            <w:tcW w:type="dxa" w:w="5112"/>
            <w:shd w:fill="E8F0FE"/>
          </w:tcPr>
          <w:p>
            <w:r/>
            <w:r>
              <w:rPr>
                <w:b/>
                <w:color w:val="202124"/>
                <w:sz w:val="19"/>
              </w:rPr>
              <w:t>Output status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color w:val="202124"/>
                <w:sz w:val="19"/>
              </w:rPr>
              <w:t>Draft demo output - ready for review and approval</w:t>
            </w:r>
          </w:p>
        </w:tc>
      </w:tr>
    </w:tbl>
    <w:p/>
    <w:p>
      <w:pPr>
        <w:pStyle w:val="Heading2"/>
      </w:pPr>
      <w:r>
        <w:t>Step 1 - Receive Performance Test Request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112"/>
        <w:gridCol w:w="5112"/>
      </w:tblGrid>
      <w:tr>
        <w:tc>
          <w:tcPr>
            <w:tcW w:type="dxa" w:w="3168"/>
            <w:shd w:fill="E8F0FE"/>
          </w:tcPr>
          <w:p>
            <w:r/>
            <w:r>
              <w:rPr>
                <w:b/>
                <w:color w:val="202124"/>
                <w:sz w:val="19"/>
              </w:rPr>
              <w:t>Input field</w:t>
            </w:r>
          </w:p>
        </w:tc>
        <w:tc>
          <w:tcPr>
            <w:tcW w:type="dxa" w:w="6768"/>
            <w:shd w:fill="E8F0FE"/>
          </w:tcPr>
          <w:p>
            <w:r/>
            <w:r>
              <w:rPr>
                <w:b/>
                <w:color w:val="202124"/>
                <w:sz w:val="19"/>
              </w:rPr>
              <w:t>Collected value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/>
                <w:color w:val="3C4043"/>
                <w:sz w:val="19"/>
              </w:rPr>
              <w:t>Request ID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color w:val="202124"/>
                <w:sz w:val="19"/>
              </w:rPr>
              <w:t>PTR-2026-001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/>
                <w:color w:val="3C4043"/>
                <w:sz w:val="19"/>
              </w:rPr>
              <w:t>Request title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color w:val="202124"/>
                <w:sz w:val="19"/>
              </w:rPr>
              <w:t>Retail Checkout Performance Readiness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/>
                <w:color w:val="3C4043"/>
                <w:sz w:val="19"/>
              </w:rPr>
              <w:t>Requester / team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color w:val="202124"/>
                <w:sz w:val="19"/>
              </w:rPr>
              <w:t>Platform QA - Performance Engineering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/>
                <w:color w:val="3C4043"/>
                <w:sz w:val="19"/>
              </w:rPr>
              <w:t>Business owner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color w:val="202124"/>
                <w:sz w:val="19"/>
              </w:rPr>
              <w:t>Commerce Product Operations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/>
                <w:color w:val="3C4043"/>
                <w:sz w:val="19"/>
              </w:rPr>
              <w:t>Target test window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color w:val="202124"/>
                <w:sz w:val="19"/>
              </w:rPr>
              <w:t>2026-06-15 to 2026-06-19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/>
                <w:color w:val="3C4043"/>
                <w:sz w:val="19"/>
              </w:rPr>
              <w:t>Priority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color w:val="202124"/>
                <w:sz w:val="19"/>
              </w:rPr>
              <w:t>High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/>
                <w:color w:val="3C4043"/>
                <w:sz w:val="19"/>
              </w:rPr>
              <w:t>Primary business driver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color w:val="202124"/>
                <w:sz w:val="19"/>
              </w:rPr>
              <w:t>Validate checkout stability before the summer campaign launch.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/>
                <w:color w:val="3C4043"/>
                <w:sz w:val="19"/>
              </w:rPr>
              <w:t>Expected decision from test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color w:val="202124"/>
                <w:sz w:val="19"/>
              </w:rPr>
              <w:t>Approve production readiness, identify bottlenecks, and document remediation owners.</w:t>
            </w:r>
          </w:p>
        </w:tc>
      </w:tr>
    </w:tbl>
    <w:p/>
    <w:p>
      <w:pPr>
        <w:pStyle w:val="Heading2"/>
      </w:pPr>
      <w:r>
        <w:t>Step 2 - Define Application and Test Scope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112"/>
        <w:gridCol w:w="5112"/>
      </w:tblGrid>
      <w:tr>
        <w:tc>
          <w:tcPr>
            <w:tcW w:type="dxa" w:w="3168"/>
            <w:shd w:fill="E8F0FE"/>
          </w:tcPr>
          <w:p>
            <w:r/>
            <w:r>
              <w:rPr>
                <w:b/>
                <w:color w:val="202124"/>
                <w:sz w:val="19"/>
              </w:rPr>
              <w:t>Input field</w:t>
            </w:r>
          </w:p>
        </w:tc>
        <w:tc>
          <w:tcPr>
            <w:tcW w:type="dxa" w:w="6768"/>
            <w:shd w:fill="E8F0FE"/>
          </w:tcPr>
          <w:p>
            <w:r/>
            <w:r>
              <w:rPr>
                <w:b/>
                <w:color w:val="202124"/>
                <w:sz w:val="19"/>
              </w:rPr>
              <w:t>Collected value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/>
                <w:color w:val="3C4043"/>
                <w:sz w:val="19"/>
              </w:rPr>
              <w:t>Application name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color w:val="202124"/>
                <w:sz w:val="19"/>
              </w:rPr>
              <w:t>Retail Checkout API and Web Checkout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/>
                <w:color w:val="3C4043"/>
                <w:sz w:val="19"/>
              </w:rPr>
              <w:t>Application tier / domain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color w:val="202124"/>
                <w:sz w:val="19"/>
              </w:rPr>
              <w:t>Customer-facing commerce journey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/>
                <w:color w:val="3C4043"/>
                <w:sz w:val="19"/>
              </w:rPr>
              <w:t>In-scope components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color w:val="202124"/>
                <w:sz w:val="19"/>
              </w:rPr>
              <w:t>Cart service, payment authorization, inventory lookup, order submission, confirmation page.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/>
                <w:color w:val="3C4043"/>
                <w:sz w:val="19"/>
              </w:rPr>
              <w:t>Out-of-scope components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color w:val="202124"/>
                <w:sz w:val="19"/>
              </w:rPr>
              <w:t>Refund workflow, fulfillment batch jobs, admin portal, analytics exports.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/>
                <w:color w:val="3C4043"/>
                <w:sz w:val="19"/>
              </w:rPr>
              <w:t>Critical user journeys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color w:val="202124"/>
                <w:sz w:val="19"/>
              </w:rPr>
              <w:t>Browse to cart, apply promo, authorize payment, submit order, receive confirmation.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/>
                <w:color w:val="3C4043"/>
                <w:sz w:val="19"/>
              </w:rPr>
              <w:t>Entry criteria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color w:val="202124"/>
                <w:sz w:val="19"/>
              </w:rPr>
              <w:t>Stable test environment, test data loaded, monitoring enabled, access granted to test tools.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/>
                <w:color w:val="3C4043"/>
                <w:sz w:val="19"/>
              </w:rPr>
              <w:t>Exit criteria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color w:val="202124"/>
                <w:sz w:val="19"/>
              </w:rPr>
              <w:t>P95 response time and error rate targets met for all in-scope journeys; defects triaged.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/>
                <w:color w:val="3C4043"/>
                <w:sz w:val="19"/>
              </w:rPr>
              <w:t>Assumptions / constraints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color w:val="202124"/>
                <w:sz w:val="19"/>
              </w:rPr>
              <w:t>Third-party payment sandbox has agreed capacity; non-production inventory latency may vary.</w:t>
            </w:r>
          </w:p>
        </w:tc>
      </w:tr>
    </w:tbl>
    <w:p/>
    <w:p>
      <w:pPr>
        <w:pStyle w:val="Heading2"/>
      </w:pPr>
      <w:r>
        <w:t>Approval checkpoint</w:t>
      </w:r>
    </w:p>
    <w:p>
      <w:r>
        <w:rPr>
          <w:b/>
        </w:rPr>
        <w:t xml:space="preserve">Required reviewers: </w:t>
      </w:r>
      <w:r>
        <w:t>Requester, application owner, performance engineering lead, and environment owner.</w:t>
      </w:r>
    </w:p>
    <w:p>
      <w:r>
        <w:rPr>
          <w:b/>
        </w:rPr>
        <w:t xml:space="preserve">Next action: </w:t>
      </w:r>
      <w:r>
        <w:t>Approve Steps 1 and 2 in the Input Collection demo to unlock the Word output handoff.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368"/>
        <w:sz w:val="16"/>
      </w:rPr>
      <w:t>Generated demo output for Steps 1 and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F6368"/>
        <w:sz w:val="16"/>
      </w:rPr>
      <w:t>Input Collection Module - Performance Testing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73E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12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Input Collection Output - Steps 1 and 2</dc:title>
  <dc:subject>Performance testing input collection</dc:subject>
  <dc:creator>python-docx</dc:creator>
  <cp:keywords/>
  <dc:description>Generated by ChatGPT demo artifact.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