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76" w:lineRule="auto"/>
        <w:jc w:val="left"/>
      </w:pPr>
    </w:p>
    <w:p>
      <w:pPr>
        <w:spacing w:before="0" w:after="0" w:line="276" w:lineRule="auto"/>
        <w:jc w:val="left"/>
      </w:pPr>
    </w:p>
    <w:p>
      <w:pPr>
        <w:spacing w:before="0" w:after="0" w:line="276" w:lineRule="auto"/>
        <w:jc w:val="left"/>
      </w:pPr>
    </w:p>
    <w:p>
      <w:pPr>
        <w:spacing w:after="480"/>
        <w:jc w:val="center"/>
      </w:pPr>
      <w:r>
        <w:drawing>
          <wp:inline>
            <wp:extent cx="2286000" cy="702763"/>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2286000" cy="702763"/>
                    </a:xfrm>
                    <a:prstGeom prst="rect"/>
                  </pic:spPr>
                </pic:pic>
              </a:graphicData>
            </a:graphic>
          </wp:inline>
        </w:drawing>
      </w:r>
    </w:p>
    <w:p>
      <w:pPr>
        <w:spacing w:before="0" w:after="0" w:line="276" w:lineRule="auto"/>
        <w:jc w:val="left"/>
      </w:pPr>
    </w:p>
    <w:p>
      <w:pPr>
        <w:spacing w:before="0" w:after="0" w:line="276" w:lineRule="auto"/>
        <w:jc w:val="left"/>
      </w:pPr>
    </w:p>
    <w:p>
      <w:pPr>
        <w:spacing w:before="0" w:after="0" w:line="276" w:lineRule="auto"/>
        <w:jc w:val="left"/>
      </w:pPr>
    </w:p>
    <w:p>
      <w:pPr>
        <w:spacing w:before="240" w:after="160" w:line="276" w:lineRule="auto"/>
        <w:jc w:val="center"/>
      </w:pPr>
      <w:r>
        <w:rPr>
          <w:rFonts w:ascii="Calibri" w:hAnsi="Calibri"/>
          <w:b/>
          <w:i w:val="0"/>
          <w:color w:val="0F4C81"/>
          <w:sz w:val="52"/>
        </w:rPr>
        <w:t>CAPSTONE PROJECT REPORT</w:t>
      </w:r>
    </w:p>
    <w:p>
      <w:pPr>
        <w:spacing w:before="80" w:after="360" w:line="276" w:lineRule="auto"/>
        <w:jc w:val="center"/>
      </w:pPr>
      <w:r>
        <w:rPr>
          <w:rFonts w:ascii="Calibri" w:hAnsi="Calibri"/>
          <w:b/>
          <w:i w:val="0"/>
          <w:color w:val="334155"/>
          <w:sz w:val="36"/>
        </w:rPr>
        <w:t>Report 1 – Project Introduction</w:t>
      </w:r>
    </w:p>
    <w:p>
      <w:pPr>
        <w:spacing w:before="240" w:after="480" w:line="276" w:lineRule="auto"/>
        <w:jc w:val="center"/>
      </w:pPr>
      <w:r>
        <w:rPr>
          <w:rFonts w:ascii="Calibri" w:hAnsi="Calibri"/>
          <w:b w:val="0"/>
          <w:i/>
          <w:color w:val="475569"/>
          <w:sz w:val="23"/>
        </w:rPr>
        <w:t>Building a Multi-Facility Smart Healthcare Platform Unifying Cloud Hybrid Mini-PACS,</w:t>
        <w:br/>
        <w:t>Electronic Medical Records (EMR), Hospital Workflow Coordination, and AI-Assisted</w:t>
        <w:br/>
        <w:t>Brain Tumor Diagnosis (MAICS Ensemble) with Medical-Ethics RAG Chatbot</w:t>
      </w:r>
    </w:p>
    <w:p>
      <w:pPr>
        <w:spacing w:before="0" w:after="0" w:line="276" w:lineRule="auto"/>
        <w:jc w:val="left"/>
      </w:pPr>
    </w:p>
    <w:p>
      <w:pPr>
        <w:spacing w:before="0" w:after="0" w:line="276" w:lineRule="auto"/>
        <w:jc w:val="left"/>
      </w:pPr>
    </w:p>
    <w:p>
      <w:pPr>
        <w:spacing w:before="0" w:after="0" w:line="276" w:lineRule="auto"/>
        <w:jc w:val="left"/>
      </w:pPr>
    </w:p>
    <w:p>
      <w:pPr>
        <w:spacing w:before="0" w:after="0" w:line="276" w:lineRule="auto"/>
        <w:jc w:val="left"/>
      </w:pPr>
    </w:p>
    <w:p>
      <w:pPr>
        <w:spacing w:before="0" w:after="0" w:line="276" w:lineRule="auto"/>
        <w:jc w:val="left"/>
      </w:pPr>
    </w:p>
    <w:p>
      <w:pPr>
        <w:spacing w:before="720" w:after="480" w:line="276" w:lineRule="auto"/>
        <w:jc w:val="center"/>
      </w:pPr>
      <w:r>
        <w:rPr>
          <w:rFonts w:ascii="Calibri" w:hAnsi="Calibri"/>
          <w:b w:val="0"/>
          <w:i w:val="0"/>
          <w:color w:val="64748B"/>
          <w:sz w:val="26"/>
        </w:rPr>
        <w:t>– Danang, September 2026 –</w:t>
      </w:r>
    </w:p>
    <w:p>
      <w:r>
        <w:br w:type="page"/>
      </w:r>
    </w:p>
    <w:p>
      <w:pPr>
        <w:spacing w:before="240" w:after="360" w:line="276" w:lineRule="auto"/>
        <w:jc w:val="left"/>
      </w:pPr>
      <w:r>
        <w:rPr>
          <w:rFonts w:ascii="Calibri" w:hAnsi="Calibri"/>
          <w:b/>
          <w:i w:val="0"/>
          <w:color w:val="0F4C81"/>
          <w:sz w:val="36"/>
        </w:rPr>
        <w:t>Table of Contents</w:t>
      </w:r>
    </w:p>
    <w:p>
      <w:pPr>
        <w:spacing w:before="20" w:after="40" w:line="276" w:lineRule="auto"/>
        <w:jc w:val="left"/>
      </w:pPr>
      <w:r>
        <w:rPr>
          <w:rFonts w:ascii="Calibri" w:hAnsi="Calibri"/>
          <w:b/>
          <w:i w:val="0"/>
          <w:color w:val="1F2937"/>
          <w:sz w:val="21"/>
        </w:rPr>
        <w:t>I. Record of Changes</w:t>
      </w:r>
      <w:r>
        <w:rPr>
          <w:rFonts w:ascii="Calibri" w:hAnsi="Calibri"/>
          <w:b w:val="0"/>
          <w:i w:val="0"/>
          <w:color w:val="94A3B8"/>
          <w:sz w:val="19"/>
        </w:rPr>
        <w:t xml:space="preserve"> ................................... </w:t>
      </w:r>
      <w:r>
        <w:rPr>
          <w:rFonts w:ascii="Calibri" w:hAnsi="Calibri"/>
          <w:b/>
          <w:i w:val="0"/>
          <w:color w:val="0F4C81"/>
          <w:sz w:val="20"/>
        </w:rPr>
        <w:t>2</w:t>
      </w:r>
    </w:p>
    <w:p>
      <w:pPr>
        <w:spacing w:before="20" w:after="40" w:line="276" w:lineRule="auto"/>
        <w:jc w:val="left"/>
      </w:pPr>
      <w:r>
        <w:rPr>
          <w:rFonts w:ascii="Calibri" w:hAnsi="Calibri"/>
          <w:b/>
          <w:i w:val="0"/>
          <w:color w:val="1F2937"/>
          <w:sz w:val="21"/>
        </w:rPr>
        <w:t>II. Project Introduction</w:t>
      </w:r>
      <w:r>
        <w:rPr>
          <w:rFonts w:ascii="Calibri" w:hAnsi="Calibri"/>
          <w:b w:val="0"/>
          <w:i w:val="0"/>
          <w:color w:val="94A3B8"/>
          <w:sz w:val="19"/>
        </w:rPr>
        <w:t xml:space="preserve"> ........................... </w:t>
      </w:r>
      <w:r>
        <w:rPr>
          <w:rFonts w:ascii="Calibri" w:hAnsi="Calibri"/>
          <w:b/>
          <w:i w:val="0"/>
          <w:color w:val="0F4C81"/>
          <w:sz w:val="20"/>
        </w:rPr>
        <w:t>3</w:t>
      </w:r>
    </w:p>
    <w:p>
      <w:pPr>
        <w:spacing w:before="20" w:after="40" w:line="276" w:lineRule="auto"/>
        <w:jc w:val="left"/>
      </w:pPr>
      <w:r>
        <w:rPr>
          <w:rFonts w:ascii="Calibri" w:hAnsi="Calibri"/>
          <w:b w:val="0"/>
          <w:i w:val="0"/>
          <w:color w:val="1F2937"/>
          <w:sz w:val="21"/>
        </w:rPr>
        <w:t xml:space="preserve">    1. Overview</w:t>
      </w:r>
      <w:r>
        <w:rPr>
          <w:rFonts w:ascii="Calibri" w:hAnsi="Calibri"/>
          <w:b w:val="0"/>
          <w:i w:val="0"/>
          <w:color w:val="94A3B8"/>
          <w:sz w:val="19"/>
        </w:rPr>
        <w:t xml:space="preserve"> ............................................. </w:t>
      </w:r>
      <w:r>
        <w:rPr>
          <w:rFonts w:ascii="Calibri" w:hAnsi="Calibri"/>
          <w:b/>
          <w:i w:val="0"/>
          <w:color w:val="0F4C81"/>
          <w:sz w:val="20"/>
        </w:rPr>
        <w:t>3</w:t>
      </w:r>
    </w:p>
    <w:p>
      <w:pPr>
        <w:spacing w:before="20" w:after="40" w:line="276" w:lineRule="auto"/>
        <w:jc w:val="left"/>
      </w:pPr>
      <w:r>
        <w:rPr>
          <w:rFonts w:ascii="Calibri" w:hAnsi="Calibri"/>
          <w:b w:val="0"/>
          <w:i w:val="0"/>
          <w:color w:val="1F2937"/>
          <w:sz w:val="21"/>
        </w:rPr>
        <w:t xml:space="preserve">        1.1 Project Information</w:t>
      </w:r>
      <w:r>
        <w:rPr>
          <w:rFonts w:ascii="Calibri" w:hAnsi="Calibri"/>
          <w:b w:val="0"/>
          <w:i w:val="0"/>
          <w:color w:val="94A3B8"/>
          <w:sz w:val="19"/>
        </w:rPr>
        <w:t xml:space="preserve"> ............. </w:t>
      </w:r>
      <w:r>
        <w:rPr>
          <w:rFonts w:ascii="Calibri" w:hAnsi="Calibri"/>
          <w:b/>
          <w:i w:val="0"/>
          <w:color w:val="0F4C81"/>
          <w:sz w:val="20"/>
        </w:rPr>
        <w:t>3</w:t>
      </w:r>
    </w:p>
    <w:p>
      <w:pPr>
        <w:spacing w:before="20" w:after="40" w:line="276" w:lineRule="auto"/>
        <w:jc w:val="left"/>
      </w:pPr>
      <w:r>
        <w:rPr>
          <w:rFonts w:ascii="Calibri" w:hAnsi="Calibri"/>
          <w:b w:val="0"/>
          <w:i w:val="0"/>
          <w:color w:val="1F2937"/>
          <w:sz w:val="21"/>
        </w:rPr>
        <w:t xml:space="preserve">        1.2 Project Team</w:t>
      </w:r>
      <w:r>
        <w:rPr>
          <w:rFonts w:ascii="Calibri" w:hAnsi="Calibri"/>
          <w:b w:val="0"/>
          <w:i w:val="0"/>
          <w:color w:val="94A3B8"/>
          <w:sz w:val="19"/>
        </w:rPr>
        <w:t xml:space="preserve"> ........................... </w:t>
      </w:r>
      <w:r>
        <w:rPr>
          <w:rFonts w:ascii="Calibri" w:hAnsi="Calibri"/>
          <w:b/>
          <w:i w:val="0"/>
          <w:color w:val="0F4C81"/>
          <w:sz w:val="20"/>
        </w:rPr>
        <w:t>3</w:t>
      </w:r>
    </w:p>
    <w:p>
      <w:pPr>
        <w:spacing w:before="20" w:after="40" w:line="276" w:lineRule="auto"/>
        <w:jc w:val="left"/>
      </w:pPr>
      <w:r>
        <w:rPr>
          <w:rFonts w:ascii="Calibri" w:hAnsi="Calibri"/>
          <w:b w:val="0"/>
          <w:i w:val="0"/>
          <w:color w:val="1F2937"/>
          <w:sz w:val="21"/>
        </w:rPr>
        <w:t xml:space="preserve">    2. Product Background</w:t>
      </w:r>
      <w:r>
        <w:rPr>
          <w:rFonts w:ascii="Calibri" w:hAnsi="Calibri"/>
          <w:b w:val="0"/>
          <w:i w:val="0"/>
          <w:color w:val="94A3B8"/>
          <w:sz w:val="19"/>
        </w:rPr>
        <w:t xml:space="preserve"> ......................... </w:t>
      </w:r>
      <w:r>
        <w:rPr>
          <w:rFonts w:ascii="Calibri" w:hAnsi="Calibri"/>
          <w:b/>
          <w:i w:val="0"/>
          <w:color w:val="0F4C81"/>
          <w:sz w:val="20"/>
        </w:rPr>
        <w:t>4</w:t>
      </w:r>
    </w:p>
    <w:p>
      <w:pPr>
        <w:spacing w:before="20" w:after="40" w:line="276" w:lineRule="auto"/>
        <w:jc w:val="left"/>
      </w:pPr>
      <w:r>
        <w:rPr>
          <w:rFonts w:ascii="Calibri" w:hAnsi="Calibri"/>
          <w:b w:val="0"/>
          <w:i w:val="0"/>
          <w:color w:val="1F2937"/>
          <w:sz w:val="21"/>
        </w:rPr>
        <w:t xml:space="preserve">        2.1 Current Hospital Landscape &amp; Diagnostic Bottlenecks</w:t>
      </w:r>
      <w:r>
        <w:rPr>
          <w:rFonts w:ascii="Calibri" w:hAnsi="Calibri"/>
          <w:b w:val="0"/>
          <w:i w:val="0"/>
          <w:color w:val="94A3B8"/>
          <w:sz w:val="19"/>
        </w:rPr>
        <w:t xml:space="preserve"> ..... </w:t>
      </w:r>
      <w:r>
        <w:rPr>
          <w:rFonts w:ascii="Calibri" w:hAnsi="Calibri"/>
          <w:b/>
          <w:i w:val="0"/>
          <w:color w:val="0F4C81"/>
          <w:sz w:val="20"/>
        </w:rPr>
        <w:t>4</w:t>
      </w:r>
    </w:p>
    <w:p>
      <w:pPr>
        <w:spacing w:before="20" w:after="40" w:line="276" w:lineRule="auto"/>
        <w:jc w:val="left"/>
      </w:pPr>
      <w:r>
        <w:rPr>
          <w:rFonts w:ascii="Calibri" w:hAnsi="Calibri"/>
          <w:b w:val="0"/>
          <w:i w:val="0"/>
          <w:color w:val="1F2937"/>
          <w:sz w:val="21"/>
        </w:rPr>
        <w:t xml:space="preserve">        2.2 Target Clinical User Groups</w:t>
      </w:r>
      <w:r>
        <w:rPr>
          <w:rFonts w:ascii="Calibri" w:hAnsi="Calibri"/>
          <w:b w:val="0"/>
          <w:i w:val="0"/>
          <w:color w:val="94A3B8"/>
          <w:sz w:val="19"/>
        </w:rPr>
        <w:t xml:space="preserve"> ..... </w:t>
      </w:r>
      <w:r>
        <w:rPr>
          <w:rFonts w:ascii="Calibri" w:hAnsi="Calibri"/>
          <w:b/>
          <w:i w:val="0"/>
          <w:color w:val="0F4C81"/>
          <w:sz w:val="20"/>
        </w:rPr>
        <w:t>4</w:t>
      </w:r>
    </w:p>
    <w:p>
      <w:pPr>
        <w:spacing w:before="20" w:after="40" w:line="276" w:lineRule="auto"/>
        <w:jc w:val="left"/>
      </w:pPr>
      <w:r>
        <w:rPr>
          <w:rFonts w:ascii="Calibri" w:hAnsi="Calibri"/>
          <w:b w:val="0"/>
          <w:i w:val="0"/>
          <w:color w:val="1F2937"/>
          <w:sz w:val="21"/>
        </w:rPr>
        <w:t xml:space="preserve">        2.3 The NeuroScan AI Breakthrough Solution</w:t>
      </w:r>
      <w:r>
        <w:rPr>
          <w:rFonts w:ascii="Calibri" w:hAnsi="Calibri"/>
          <w:b w:val="0"/>
          <w:i w:val="0"/>
          <w:color w:val="94A3B8"/>
          <w:sz w:val="19"/>
        </w:rPr>
        <w:t xml:space="preserve"> ..... </w:t>
      </w:r>
      <w:r>
        <w:rPr>
          <w:rFonts w:ascii="Calibri" w:hAnsi="Calibri"/>
          <w:b/>
          <w:i w:val="0"/>
          <w:color w:val="0F4C81"/>
          <w:sz w:val="20"/>
        </w:rPr>
        <w:t>5</w:t>
      </w:r>
    </w:p>
    <w:p>
      <w:pPr>
        <w:spacing w:before="20" w:after="40" w:line="276" w:lineRule="auto"/>
        <w:jc w:val="left"/>
      </w:pPr>
      <w:r>
        <w:rPr>
          <w:rFonts w:ascii="Calibri" w:hAnsi="Calibri"/>
          <w:b w:val="0"/>
          <w:i w:val="0"/>
          <w:color w:val="1F2937"/>
          <w:sz w:val="21"/>
        </w:rPr>
        <w:t xml:space="preserve">        2.4 Core Clinical Pain Points &amp; Paradoxes Eliminated</w:t>
      </w:r>
      <w:r>
        <w:rPr>
          <w:rFonts w:ascii="Calibri" w:hAnsi="Calibri"/>
          <w:b w:val="0"/>
          <w:i w:val="0"/>
          <w:color w:val="94A3B8"/>
          <w:sz w:val="19"/>
        </w:rPr>
        <w:t xml:space="preserve"> ..... </w:t>
      </w:r>
      <w:r>
        <w:rPr>
          <w:rFonts w:ascii="Calibri" w:hAnsi="Calibri"/>
          <w:b/>
          <w:i w:val="0"/>
          <w:color w:val="0F4C81"/>
          <w:sz w:val="20"/>
        </w:rPr>
        <w:t>6</w:t>
      </w:r>
    </w:p>
    <w:p>
      <w:pPr>
        <w:spacing w:before="20" w:after="40" w:line="276" w:lineRule="auto"/>
        <w:jc w:val="left"/>
      </w:pPr>
      <w:r>
        <w:rPr>
          <w:rFonts w:ascii="Calibri" w:hAnsi="Calibri"/>
          <w:b w:val="0"/>
          <w:i w:val="0"/>
          <w:color w:val="1F2937"/>
          <w:sz w:val="21"/>
        </w:rPr>
        <w:t xml:space="preserve">    3. Existing Systems Analysis</w:t>
      </w:r>
      <w:r>
        <w:rPr>
          <w:rFonts w:ascii="Calibri" w:hAnsi="Calibri"/>
          <w:b w:val="0"/>
          <w:i w:val="0"/>
          <w:color w:val="94A3B8"/>
          <w:sz w:val="19"/>
        </w:rPr>
        <w:t xml:space="preserve"> ........... </w:t>
      </w:r>
      <w:r>
        <w:rPr>
          <w:rFonts w:ascii="Calibri" w:hAnsi="Calibri"/>
          <w:b/>
          <w:i w:val="0"/>
          <w:color w:val="0F4C81"/>
          <w:sz w:val="20"/>
        </w:rPr>
        <w:t>7</w:t>
      </w:r>
    </w:p>
    <w:p>
      <w:pPr>
        <w:spacing w:before="20" w:after="40" w:line="276" w:lineRule="auto"/>
        <w:jc w:val="left"/>
      </w:pPr>
      <w:r>
        <w:rPr>
          <w:rFonts w:ascii="Calibri" w:hAnsi="Calibri"/>
          <w:b w:val="0"/>
          <w:i w:val="0"/>
          <w:color w:val="1F2937"/>
          <w:sz w:val="21"/>
        </w:rPr>
        <w:t xml:space="preserve">        3.1 VinBrain DrAid</w:t>
      </w:r>
      <w:r>
        <w:rPr>
          <w:rFonts w:ascii="Calibri" w:hAnsi="Calibri"/>
          <w:b w:val="0"/>
          <w:i w:val="0"/>
          <w:color w:val="94A3B8"/>
          <w:sz w:val="19"/>
        </w:rPr>
        <w:t xml:space="preserve"> ....................... </w:t>
      </w:r>
      <w:r>
        <w:rPr>
          <w:rFonts w:ascii="Calibri" w:hAnsi="Calibri"/>
          <w:b/>
          <w:i w:val="0"/>
          <w:color w:val="0F4C81"/>
          <w:sz w:val="20"/>
        </w:rPr>
        <w:t>7</w:t>
      </w:r>
    </w:p>
    <w:p>
      <w:pPr>
        <w:spacing w:before="20" w:after="40" w:line="276" w:lineRule="auto"/>
        <w:jc w:val="left"/>
      </w:pPr>
      <w:r>
        <w:rPr>
          <w:rFonts w:ascii="Calibri" w:hAnsi="Calibri"/>
          <w:b w:val="0"/>
          <w:i w:val="0"/>
          <w:color w:val="1F2937"/>
          <w:sz w:val="21"/>
        </w:rPr>
        <w:t xml:space="preserve">        3.2 Qure.ai qER</w:t>
      </w:r>
      <w:r>
        <w:rPr>
          <w:rFonts w:ascii="Calibri" w:hAnsi="Calibri"/>
          <w:b w:val="0"/>
          <w:i w:val="0"/>
          <w:color w:val="94A3B8"/>
          <w:sz w:val="19"/>
        </w:rPr>
        <w:t xml:space="preserve"> ............................. </w:t>
      </w:r>
      <w:r>
        <w:rPr>
          <w:rFonts w:ascii="Calibri" w:hAnsi="Calibri"/>
          <w:b/>
          <w:i w:val="0"/>
          <w:color w:val="0F4C81"/>
          <w:sz w:val="20"/>
        </w:rPr>
        <w:t>8</w:t>
      </w:r>
    </w:p>
    <w:p>
      <w:pPr>
        <w:spacing w:before="20" w:after="40" w:line="276" w:lineRule="auto"/>
        <w:jc w:val="left"/>
      </w:pPr>
      <w:r>
        <w:rPr>
          <w:rFonts w:ascii="Calibri" w:hAnsi="Calibri"/>
          <w:b w:val="0"/>
          <w:i w:val="0"/>
          <w:color w:val="1F2937"/>
          <w:sz w:val="21"/>
        </w:rPr>
        <w:t xml:space="preserve">        3.3 Comparative Evaluation</w:t>
      </w:r>
      <w:r>
        <w:rPr>
          <w:rFonts w:ascii="Calibri" w:hAnsi="Calibri"/>
          <w:b w:val="0"/>
          <w:i w:val="0"/>
          <w:color w:val="94A3B8"/>
          <w:sz w:val="19"/>
        </w:rPr>
        <w:t xml:space="preserve"> ....... </w:t>
      </w:r>
      <w:r>
        <w:rPr>
          <w:rFonts w:ascii="Calibri" w:hAnsi="Calibri"/>
          <w:b/>
          <w:i w:val="0"/>
          <w:color w:val="0F4C81"/>
          <w:sz w:val="20"/>
        </w:rPr>
        <w:t>8</w:t>
      </w:r>
    </w:p>
    <w:p>
      <w:pPr>
        <w:spacing w:before="20" w:after="40" w:line="276" w:lineRule="auto"/>
        <w:jc w:val="left"/>
      </w:pPr>
      <w:r>
        <w:rPr>
          <w:rFonts w:ascii="Calibri" w:hAnsi="Calibri"/>
          <w:b w:val="0"/>
          <w:i w:val="0"/>
          <w:color w:val="1F2937"/>
          <w:sz w:val="21"/>
        </w:rPr>
        <w:t xml:space="preserve">    4. Business Opportunity</w:t>
      </w:r>
      <w:r>
        <w:rPr>
          <w:rFonts w:ascii="Calibri" w:hAnsi="Calibri"/>
          <w:b w:val="0"/>
          <w:i w:val="0"/>
          <w:color w:val="94A3B8"/>
          <w:sz w:val="19"/>
        </w:rPr>
        <w:t xml:space="preserve"> ..................... </w:t>
      </w:r>
      <w:r>
        <w:rPr>
          <w:rFonts w:ascii="Calibri" w:hAnsi="Calibri"/>
          <w:b/>
          <w:i w:val="0"/>
          <w:color w:val="0F4C81"/>
          <w:sz w:val="20"/>
        </w:rPr>
        <w:t>9</w:t>
      </w:r>
    </w:p>
    <w:p>
      <w:pPr>
        <w:spacing w:before="20" w:after="40" w:line="276" w:lineRule="auto"/>
        <w:jc w:val="left"/>
      </w:pPr>
      <w:r>
        <w:rPr>
          <w:rFonts w:ascii="Calibri" w:hAnsi="Calibri"/>
          <w:b w:val="0"/>
          <w:i w:val="0"/>
          <w:color w:val="1F2937"/>
          <w:sz w:val="21"/>
        </w:rPr>
        <w:t xml:space="preserve">        4.1 Market Trends and Fit</w:t>
      </w:r>
      <w:r>
        <w:rPr>
          <w:rFonts w:ascii="Calibri" w:hAnsi="Calibri"/>
          <w:b w:val="0"/>
          <w:i w:val="0"/>
          <w:color w:val="94A3B8"/>
          <w:sz w:val="19"/>
        </w:rPr>
        <w:t xml:space="preserve"> ......... </w:t>
      </w:r>
      <w:r>
        <w:rPr>
          <w:rFonts w:ascii="Calibri" w:hAnsi="Calibri"/>
          <w:b/>
          <w:i w:val="0"/>
          <w:color w:val="0F4C81"/>
          <w:sz w:val="20"/>
        </w:rPr>
        <w:t>9</w:t>
      </w:r>
    </w:p>
    <w:p>
      <w:pPr>
        <w:spacing w:before="20" w:after="40" w:line="276" w:lineRule="auto"/>
        <w:jc w:val="left"/>
      </w:pPr>
      <w:r>
        <w:rPr>
          <w:rFonts w:ascii="Calibri" w:hAnsi="Calibri"/>
          <w:b w:val="0"/>
          <w:i w:val="0"/>
          <w:color w:val="1F2937"/>
          <w:sz w:val="21"/>
        </w:rPr>
        <w:t xml:space="preserve">        4.2 Solving Critical Healthcare Problems</w:t>
      </w:r>
      <w:r>
        <w:rPr>
          <w:rFonts w:ascii="Calibri" w:hAnsi="Calibri"/>
          <w:b w:val="0"/>
          <w:i w:val="0"/>
          <w:color w:val="94A3B8"/>
          <w:sz w:val="19"/>
        </w:rPr>
        <w:t xml:space="preserve"> ..... </w:t>
      </w:r>
      <w:r>
        <w:rPr>
          <w:rFonts w:ascii="Calibri" w:hAnsi="Calibri"/>
          <w:b/>
          <w:i w:val="0"/>
          <w:color w:val="0F4C81"/>
          <w:sz w:val="20"/>
        </w:rPr>
        <w:t>9</w:t>
      </w:r>
    </w:p>
    <w:p>
      <w:pPr>
        <w:spacing w:before="20" w:after="40" w:line="276" w:lineRule="auto"/>
        <w:jc w:val="left"/>
      </w:pPr>
      <w:r>
        <w:rPr>
          <w:rFonts w:ascii="Calibri" w:hAnsi="Calibri"/>
          <w:b w:val="0"/>
          <w:i w:val="0"/>
          <w:color w:val="1F2937"/>
          <w:sz w:val="21"/>
        </w:rPr>
        <w:t xml:space="preserve">        4.3 Key Features and Clinical Benefits (Table 2)</w:t>
      </w:r>
      <w:r>
        <w:rPr>
          <w:rFonts w:ascii="Calibri" w:hAnsi="Calibri"/>
          <w:b w:val="0"/>
          <w:i w:val="0"/>
          <w:color w:val="94A3B8"/>
          <w:sz w:val="19"/>
        </w:rPr>
        <w:t xml:space="preserve"> ..... </w:t>
      </w:r>
      <w:r>
        <w:rPr>
          <w:rFonts w:ascii="Calibri" w:hAnsi="Calibri"/>
          <w:b/>
          <w:i w:val="0"/>
          <w:color w:val="0F4C81"/>
          <w:sz w:val="20"/>
        </w:rPr>
        <w:t>10</w:t>
      </w:r>
    </w:p>
    <w:p>
      <w:pPr>
        <w:spacing w:before="20" w:after="40" w:line="276" w:lineRule="auto"/>
        <w:jc w:val="left"/>
      </w:pPr>
      <w:r>
        <w:rPr>
          <w:rFonts w:ascii="Calibri" w:hAnsi="Calibri"/>
          <w:b w:val="0"/>
          <w:i w:val="0"/>
          <w:color w:val="1F2937"/>
          <w:sz w:val="21"/>
        </w:rPr>
        <w:t xml:space="preserve">        4.4 Market Needs and Commercialization Potential</w:t>
      </w:r>
      <w:r>
        <w:rPr>
          <w:rFonts w:ascii="Calibri" w:hAnsi="Calibri"/>
          <w:b w:val="0"/>
          <w:i w:val="0"/>
          <w:color w:val="94A3B8"/>
          <w:sz w:val="19"/>
        </w:rPr>
        <w:t xml:space="preserve"> ..... </w:t>
      </w:r>
      <w:r>
        <w:rPr>
          <w:rFonts w:ascii="Calibri" w:hAnsi="Calibri"/>
          <w:b/>
          <w:i w:val="0"/>
          <w:color w:val="0F4C81"/>
          <w:sz w:val="20"/>
        </w:rPr>
        <w:t>11</w:t>
      </w:r>
    </w:p>
    <w:p>
      <w:pPr>
        <w:spacing w:before="20" w:after="40" w:line="276" w:lineRule="auto"/>
        <w:jc w:val="left"/>
      </w:pPr>
      <w:r>
        <w:rPr>
          <w:rFonts w:ascii="Calibri" w:hAnsi="Calibri"/>
          <w:b w:val="0"/>
          <w:i w:val="0"/>
          <w:color w:val="1F2937"/>
          <w:sz w:val="21"/>
        </w:rPr>
        <w:t xml:space="preserve">    5. Software Product Vision</w:t>
      </w:r>
      <w:r>
        <w:rPr>
          <w:rFonts w:ascii="Calibri" w:hAnsi="Calibri"/>
          <w:b w:val="0"/>
          <w:i w:val="0"/>
          <w:color w:val="94A3B8"/>
          <w:sz w:val="19"/>
        </w:rPr>
        <w:t xml:space="preserve"> ............... </w:t>
      </w:r>
      <w:r>
        <w:rPr>
          <w:rFonts w:ascii="Calibri" w:hAnsi="Calibri"/>
          <w:b/>
          <w:i w:val="0"/>
          <w:color w:val="0F4C81"/>
          <w:sz w:val="20"/>
        </w:rPr>
        <w:t>12</w:t>
      </w:r>
    </w:p>
    <w:p>
      <w:pPr>
        <w:spacing w:before="20" w:after="40" w:line="276" w:lineRule="auto"/>
        <w:jc w:val="left"/>
      </w:pPr>
      <w:r>
        <w:rPr>
          <w:rFonts w:ascii="Calibri" w:hAnsi="Calibri"/>
          <w:b w:val="0"/>
          <w:i w:val="0"/>
          <w:color w:val="1F2937"/>
          <w:sz w:val="21"/>
        </w:rPr>
        <w:t xml:space="preserve">        5.1 Vision Statement</w:t>
      </w:r>
      <w:r>
        <w:rPr>
          <w:rFonts w:ascii="Calibri" w:hAnsi="Calibri"/>
          <w:b w:val="0"/>
          <w:i w:val="0"/>
          <w:color w:val="94A3B8"/>
          <w:sz w:val="19"/>
        </w:rPr>
        <w:t xml:space="preserve"> ................... </w:t>
      </w:r>
      <w:r>
        <w:rPr>
          <w:rFonts w:ascii="Calibri" w:hAnsi="Calibri"/>
          <w:b/>
          <w:i w:val="0"/>
          <w:color w:val="0F4C81"/>
          <w:sz w:val="20"/>
        </w:rPr>
        <w:t>12</w:t>
      </w:r>
    </w:p>
    <w:p>
      <w:pPr>
        <w:spacing w:before="20" w:after="40" w:line="276" w:lineRule="auto"/>
        <w:jc w:val="left"/>
      </w:pPr>
      <w:r>
        <w:rPr>
          <w:rFonts w:ascii="Calibri" w:hAnsi="Calibri"/>
          <w:b w:val="0"/>
          <w:i w:val="0"/>
          <w:color w:val="1F2937"/>
          <w:sz w:val="21"/>
        </w:rPr>
        <w:t xml:space="preserve">        5.2 Six Foundational Pillars</w:t>
      </w:r>
      <w:r>
        <w:rPr>
          <w:rFonts w:ascii="Calibri" w:hAnsi="Calibri"/>
          <w:b w:val="0"/>
          <w:i w:val="0"/>
          <w:color w:val="94A3B8"/>
          <w:sz w:val="19"/>
        </w:rPr>
        <w:t xml:space="preserve"> ..... </w:t>
      </w:r>
      <w:r>
        <w:rPr>
          <w:rFonts w:ascii="Calibri" w:hAnsi="Calibri"/>
          <w:b/>
          <w:i w:val="0"/>
          <w:color w:val="0F4C81"/>
          <w:sz w:val="20"/>
        </w:rPr>
        <w:t>12</w:t>
      </w:r>
    </w:p>
    <w:p>
      <w:pPr>
        <w:spacing w:before="20" w:after="40" w:line="276" w:lineRule="auto"/>
        <w:jc w:val="left"/>
      </w:pPr>
      <w:r>
        <w:rPr>
          <w:rFonts w:ascii="Calibri" w:hAnsi="Calibri"/>
          <w:b w:val="0"/>
          <w:i w:val="0"/>
          <w:color w:val="1F2937"/>
          <w:sz w:val="21"/>
        </w:rPr>
        <w:t xml:space="preserve">        5.3 Strategic Value &amp; Healthcare Impact</w:t>
      </w:r>
      <w:r>
        <w:rPr>
          <w:rFonts w:ascii="Calibri" w:hAnsi="Calibri"/>
          <w:b w:val="0"/>
          <w:i w:val="0"/>
          <w:color w:val="94A3B8"/>
          <w:sz w:val="19"/>
        </w:rPr>
        <w:t xml:space="preserve"> ..... </w:t>
      </w:r>
      <w:r>
        <w:rPr>
          <w:rFonts w:ascii="Calibri" w:hAnsi="Calibri"/>
          <w:b/>
          <w:i w:val="0"/>
          <w:color w:val="0F4C81"/>
          <w:sz w:val="20"/>
        </w:rPr>
        <w:t>13</w:t>
      </w:r>
    </w:p>
    <w:p>
      <w:pPr>
        <w:spacing w:before="20" w:after="40" w:line="276" w:lineRule="auto"/>
        <w:jc w:val="left"/>
      </w:pPr>
      <w:r>
        <w:rPr>
          <w:rFonts w:ascii="Calibri" w:hAnsi="Calibri"/>
          <w:b w:val="0"/>
          <w:i w:val="0"/>
          <w:color w:val="1F2937"/>
          <w:sz w:val="21"/>
        </w:rPr>
        <w:t xml:space="preserve">    6. Project Scope &amp; Limitations</w:t>
      </w:r>
      <w:r>
        <w:rPr>
          <w:rFonts w:ascii="Calibri" w:hAnsi="Calibri"/>
          <w:b w:val="0"/>
          <w:i w:val="0"/>
          <w:color w:val="94A3B8"/>
          <w:sz w:val="19"/>
        </w:rPr>
        <w:t xml:space="preserve"> ....... </w:t>
      </w:r>
      <w:r>
        <w:rPr>
          <w:rFonts w:ascii="Calibri" w:hAnsi="Calibri"/>
          <w:b/>
          <w:i w:val="0"/>
          <w:color w:val="0F4C81"/>
          <w:sz w:val="20"/>
        </w:rPr>
        <w:t>14</w:t>
      </w:r>
    </w:p>
    <w:p>
      <w:pPr>
        <w:spacing w:before="20" w:after="40" w:line="276" w:lineRule="auto"/>
        <w:jc w:val="left"/>
      </w:pPr>
      <w:r>
        <w:rPr>
          <w:rFonts w:ascii="Calibri" w:hAnsi="Calibri"/>
          <w:b w:val="0"/>
          <w:i w:val="0"/>
          <w:color w:val="1F2937"/>
          <w:sz w:val="21"/>
        </w:rPr>
        <w:t xml:space="preserve">        6.1 Major Features (FE-01 to FE-18)</w:t>
      </w:r>
      <w:r>
        <w:rPr>
          <w:rFonts w:ascii="Calibri" w:hAnsi="Calibri"/>
          <w:b w:val="0"/>
          <w:i w:val="0"/>
          <w:color w:val="94A3B8"/>
          <w:sz w:val="19"/>
        </w:rPr>
        <w:t xml:space="preserve"> ..... </w:t>
      </w:r>
      <w:r>
        <w:rPr>
          <w:rFonts w:ascii="Calibri" w:hAnsi="Calibri"/>
          <w:b/>
          <w:i w:val="0"/>
          <w:color w:val="0F4C81"/>
          <w:sz w:val="20"/>
        </w:rPr>
        <w:t>14</w:t>
      </w:r>
    </w:p>
    <w:p>
      <w:pPr>
        <w:spacing w:before="20" w:after="40" w:line="276" w:lineRule="auto"/>
        <w:jc w:val="left"/>
      </w:pPr>
      <w:r>
        <w:rPr>
          <w:rFonts w:ascii="Calibri" w:hAnsi="Calibri"/>
          <w:b w:val="0"/>
          <w:i w:val="0"/>
          <w:color w:val="1F2937"/>
          <w:sz w:val="21"/>
        </w:rPr>
        <w:t xml:space="preserve">        6.2 System Context Architecture Diagram</w:t>
      </w:r>
      <w:r>
        <w:rPr>
          <w:rFonts w:ascii="Calibri" w:hAnsi="Calibri"/>
          <w:b w:val="0"/>
          <w:i w:val="0"/>
          <w:color w:val="94A3B8"/>
          <w:sz w:val="19"/>
        </w:rPr>
        <w:t xml:space="preserve"> ..... </w:t>
      </w:r>
      <w:r>
        <w:rPr>
          <w:rFonts w:ascii="Calibri" w:hAnsi="Calibri"/>
          <w:b/>
          <w:i w:val="0"/>
          <w:color w:val="0F4C81"/>
          <w:sz w:val="20"/>
        </w:rPr>
        <w:t>18</w:t>
      </w:r>
    </w:p>
    <w:p>
      <w:pPr>
        <w:spacing w:before="20" w:after="40" w:line="276" w:lineRule="auto"/>
        <w:jc w:val="left"/>
      </w:pPr>
      <w:r>
        <w:rPr>
          <w:rFonts w:ascii="Calibri" w:hAnsi="Calibri"/>
          <w:b w:val="0"/>
          <w:i w:val="0"/>
          <w:color w:val="1F2937"/>
          <w:sz w:val="21"/>
        </w:rPr>
        <w:t xml:space="preserve">        6.3 Limitations &amp; Exclusions (LI-01 to LI-09)</w:t>
      </w:r>
      <w:r>
        <w:rPr>
          <w:rFonts w:ascii="Calibri" w:hAnsi="Calibri"/>
          <w:b w:val="0"/>
          <w:i w:val="0"/>
          <w:color w:val="94A3B8"/>
          <w:sz w:val="19"/>
        </w:rPr>
        <w:t xml:space="preserve"> ..... </w:t>
      </w:r>
      <w:r>
        <w:rPr>
          <w:rFonts w:ascii="Calibri" w:hAnsi="Calibri"/>
          <w:b/>
          <w:i w:val="0"/>
          <w:color w:val="0F4C81"/>
          <w:sz w:val="20"/>
        </w:rPr>
        <w:t>19</w:t>
      </w:r>
    </w:p>
    <w:p>
      <w:r>
        <w:br w:type="page"/>
      </w:r>
    </w:p>
    <w:p>
      <w:pPr>
        <w:pStyle w:val="Heading1"/>
        <w:spacing w:before="240" w:after="160" w:line="276" w:lineRule="auto"/>
        <w:jc w:val="left"/>
      </w:pPr>
      <w:r>
        <w:rPr>
          <w:rFonts w:ascii="Calibri" w:hAnsi="Calibri"/>
          <w:b/>
          <w:i w:val="0"/>
          <w:color w:val="0F4C81"/>
          <w:sz w:val="32"/>
        </w:rPr>
        <w:t>I. Record of Changes</w:t>
      </w:r>
    </w:p>
    <w:p>
      <w:pPr>
        <w:spacing w:before="0" w:after="240" w:line="276" w:lineRule="auto"/>
        <w:jc w:val="left"/>
      </w:pPr>
      <w:r>
        <w:rPr>
          <w:rFonts w:ascii="Calibri" w:hAnsi="Calibri"/>
          <w:b w:val="0"/>
          <w:i/>
          <w:color w:val="64748B"/>
          <w:sz w:val="19"/>
        </w:rPr>
        <w:t>*A - Added, M - Modified, D - Deleted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62"/>
        <w:gridCol w:w="2262"/>
        <w:gridCol w:w="2262"/>
        <w:gridCol w:w="2262"/>
      </w:tblGrid>
      <w:tr>
        <w:tc>
          <w:tcPr>
            <w:tcW w:type="dxa" w:w="1440"/>
            <w:shd w:fill="F1F5F9"/>
            <w:tcMar>
              <w:top w:w="120" w:type="dxa"/>
              <w:bottom w:w="120" w:type="dxa"/>
              <w:left w:w="160" w:type="dxa"/>
              <w:right w:w="160" w:type="dxa"/>
            </w:tcMar>
          </w:tcPr>
          <w:p>
            <w:pPr>
              <w:spacing w:before="40" w:after="40" w:line="276" w:lineRule="auto"/>
            </w:pPr>
            <w:r>
              <w:rPr>
                <w:rFonts w:ascii="Calibri" w:hAnsi="Calibri"/>
                <w:b/>
                <w:color w:val="1F2937"/>
                <w:sz w:val="20"/>
              </w:rPr>
              <w:t>Date</w:t>
            </w:r>
          </w:p>
        </w:tc>
        <w:tc>
          <w:tcPr>
            <w:tcW w:type="dxa" w:w="1152"/>
            <w:shd w:fill="F1F5F9"/>
            <w:tcMar>
              <w:top w:w="120" w:type="dxa"/>
              <w:bottom w:w="120" w:type="dxa"/>
              <w:left w:w="160" w:type="dxa"/>
              <w:right w:w="160" w:type="dxa"/>
            </w:tcMar>
          </w:tcPr>
          <w:p>
            <w:pPr>
              <w:spacing w:before="40" w:after="40" w:line="276" w:lineRule="auto"/>
            </w:pPr>
            <w:r>
              <w:rPr>
                <w:rFonts w:ascii="Calibri" w:hAnsi="Calibri"/>
                <w:b/>
                <w:color w:val="1F2937"/>
                <w:sz w:val="20"/>
              </w:rPr>
              <w:t>A* M, D</w:t>
            </w:r>
          </w:p>
        </w:tc>
        <w:tc>
          <w:tcPr>
            <w:tcW w:type="dxa" w:w="1584"/>
            <w:shd w:fill="F1F5F9"/>
            <w:tcMar>
              <w:top w:w="120" w:type="dxa"/>
              <w:bottom w:w="120" w:type="dxa"/>
              <w:left w:w="160" w:type="dxa"/>
              <w:right w:w="160" w:type="dxa"/>
            </w:tcMar>
          </w:tcPr>
          <w:p>
            <w:pPr>
              <w:spacing w:before="40" w:after="40" w:line="276" w:lineRule="auto"/>
            </w:pPr>
            <w:r>
              <w:rPr>
                <w:rFonts w:ascii="Calibri" w:hAnsi="Calibri"/>
                <w:b/>
                <w:color w:val="1F2937"/>
                <w:sz w:val="20"/>
              </w:rPr>
              <w:t>In charge</w:t>
            </w:r>
          </w:p>
        </w:tc>
        <w:tc>
          <w:tcPr>
            <w:tcW w:type="dxa" w:w="5904"/>
            <w:shd w:fill="F1F5F9"/>
            <w:tcMar>
              <w:top w:w="120" w:type="dxa"/>
              <w:bottom w:w="120" w:type="dxa"/>
              <w:left w:w="160" w:type="dxa"/>
              <w:right w:w="160" w:type="dxa"/>
            </w:tcMar>
          </w:tcPr>
          <w:p>
            <w:pPr>
              <w:spacing w:before="40" w:after="40" w:line="276" w:lineRule="auto"/>
            </w:pPr>
            <w:r>
              <w:rPr>
                <w:rFonts w:ascii="Calibri" w:hAnsi="Calibri"/>
                <w:b/>
                <w:color w:val="1F2937"/>
                <w:sz w:val="20"/>
              </w:rPr>
              <w:t>Change Description</w:t>
            </w:r>
          </w:p>
        </w:tc>
      </w:tr>
      <w:tr>
        <w:tc>
          <w:tcPr>
            <w:tcW w:type="dxa" w:w="1440"/>
            <w:shd w:fill="F8FAFC"/>
            <w:tcMar>
              <w:top w:w="120" w:type="dxa"/>
              <w:bottom w:w="120" w:type="dxa"/>
              <w:left w:w="160" w:type="dxa"/>
              <w:right w:w="160" w:type="dxa"/>
            </w:tcMar>
          </w:tcPr>
          <w:p>
            <w:pPr>
              <w:spacing w:before="40" w:after="40" w:line="276" w:lineRule="auto"/>
            </w:pPr>
            <w:r>
              <w:rPr>
                <w:rFonts w:ascii="Calibri" w:hAnsi="Calibri"/>
                <w:color w:val="374151"/>
                <w:sz w:val="19"/>
              </w:rPr>
              <w:t>06/09/2025</w:t>
            </w:r>
          </w:p>
        </w:tc>
        <w:tc>
          <w:tcPr>
            <w:tcW w:type="dxa" w:w="1152"/>
            <w:shd w:fill="F8FAFC"/>
            <w:tcMar>
              <w:top w:w="120" w:type="dxa"/>
              <w:bottom w:w="120" w:type="dxa"/>
              <w:left w:w="160" w:type="dxa"/>
              <w:right w:w="160" w:type="dxa"/>
            </w:tcMar>
          </w:tcPr>
          <w:p>
            <w:pPr>
              <w:spacing w:before="40" w:after="40" w:line="276" w:lineRule="auto"/>
            </w:pPr>
            <w:r>
              <w:rPr>
                <w:rFonts w:ascii="Calibri" w:hAnsi="Calibri"/>
                <w:color w:val="374151"/>
                <w:sz w:val="19"/>
              </w:rPr>
              <w:t>A</w:t>
            </w:r>
          </w:p>
        </w:tc>
        <w:tc>
          <w:tcPr>
            <w:tcW w:type="dxa" w:w="1584"/>
            <w:shd w:fill="F8FAFC"/>
            <w:tcMar>
              <w:top w:w="120" w:type="dxa"/>
              <w:bottom w:w="120" w:type="dxa"/>
              <w:left w:w="160" w:type="dxa"/>
              <w:right w:w="160" w:type="dxa"/>
            </w:tcMar>
          </w:tcPr>
          <w:p>
            <w:pPr>
              <w:spacing w:before="40" w:after="40" w:line="276" w:lineRule="auto"/>
            </w:pPr>
            <w:r>
              <w:rPr>
                <w:rFonts w:ascii="Calibri" w:hAnsi="Calibri"/>
                <w:color w:val="374151"/>
                <w:sz w:val="19"/>
              </w:rPr>
              <w:t>ThanhNT</w:t>
            </w:r>
          </w:p>
        </w:tc>
        <w:tc>
          <w:tcPr>
            <w:tcW w:type="dxa" w:w="5904"/>
            <w:shd w:fill="F8FAFC"/>
            <w:tcMar>
              <w:top w:w="120" w:type="dxa"/>
              <w:bottom w:w="120" w:type="dxa"/>
              <w:left w:w="160" w:type="dxa"/>
              <w:right w:w="160" w:type="dxa"/>
            </w:tcMar>
          </w:tcPr>
          <w:p>
            <w:pPr>
              <w:spacing w:before="40" w:after="40" w:line="276" w:lineRule="auto"/>
            </w:pPr>
            <w:r>
              <w:rPr>
                <w:rFonts w:ascii="Calibri" w:hAnsi="Calibri"/>
                <w:color w:val="374151"/>
                <w:sz w:val="19"/>
              </w:rPr>
              <w:t>Create the initial project introduction document</w:t>
            </w:r>
          </w:p>
        </w:tc>
      </w:tr>
      <w:tr>
        <w:tc>
          <w:tcPr>
            <w:tcW w:type="dxa" w:w="1440"/>
            <w:shd w:fill="FFFFFF"/>
            <w:tcMar>
              <w:top w:w="120" w:type="dxa"/>
              <w:bottom w:w="120" w:type="dxa"/>
              <w:left w:w="160" w:type="dxa"/>
              <w:right w:w="160" w:type="dxa"/>
            </w:tcMar>
          </w:tcPr>
          <w:p>
            <w:pPr>
              <w:spacing w:before="40" w:after="40" w:line="276" w:lineRule="auto"/>
            </w:pPr>
            <w:r>
              <w:rPr>
                <w:rFonts w:ascii="Calibri" w:hAnsi="Calibri"/>
                <w:color w:val="374151"/>
                <w:sz w:val="19"/>
              </w:rPr>
              <w:t>08/09/2025</w:t>
            </w:r>
          </w:p>
        </w:tc>
        <w:tc>
          <w:tcPr>
            <w:tcW w:type="dxa" w:w="1152"/>
            <w:shd w:fill="FFFFFF"/>
            <w:tcMar>
              <w:top w:w="120" w:type="dxa"/>
              <w:bottom w:w="120" w:type="dxa"/>
              <w:left w:w="160" w:type="dxa"/>
              <w:right w:w="160" w:type="dxa"/>
            </w:tcMar>
          </w:tcPr>
          <w:p>
            <w:pPr>
              <w:spacing w:before="40" w:after="40" w:line="276" w:lineRule="auto"/>
            </w:pPr>
            <w:r>
              <w:rPr>
                <w:rFonts w:ascii="Calibri" w:hAnsi="Calibri"/>
                <w:color w:val="374151"/>
                <w:sz w:val="19"/>
              </w:rPr>
              <w:t>A</w:t>
            </w:r>
          </w:p>
        </w:tc>
        <w:tc>
          <w:tcPr>
            <w:tcW w:type="dxa" w:w="1584"/>
            <w:shd w:fill="FFFFFF"/>
            <w:tcMar>
              <w:top w:w="120" w:type="dxa"/>
              <w:bottom w:w="120" w:type="dxa"/>
              <w:left w:w="160" w:type="dxa"/>
              <w:right w:w="160" w:type="dxa"/>
            </w:tcMar>
          </w:tcPr>
          <w:p>
            <w:pPr>
              <w:spacing w:before="40" w:after="40" w:line="276" w:lineRule="auto"/>
            </w:pPr>
            <w:r>
              <w:rPr>
                <w:rFonts w:ascii="Calibri" w:hAnsi="Calibri"/>
                <w:color w:val="374151"/>
                <w:sz w:val="19"/>
              </w:rPr>
              <w:t>HoangDH</w:t>
            </w:r>
          </w:p>
        </w:tc>
        <w:tc>
          <w:tcPr>
            <w:tcW w:type="dxa" w:w="5904"/>
            <w:shd w:fill="FFFFFF"/>
            <w:tcMar>
              <w:top w:w="120" w:type="dxa"/>
              <w:bottom w:w="120" w:type="dxa"/>
              <w:left w:w="160" w:type="dxa"/>
              <w:right w:w="160" w:type="dxa"/>
            </w:tcMar>
          </w:tcPr>
          <w:p>
            <w:pPr>
              <w:spacing w:before="40" w:after="40" w:line="276" w:lineRule="auto"/>
            </w:pPr>
            <w:r>
              <w:rPr>
                <w:rFonts w:ascii="Calibri" w:hAnsi="Calibri"/>
                <w:color w:val="374151"/>
                <w:sz w:val="19"/>
              </w:rPr>
              <w:t>Draft content for Overview, Product Background, and Business Opportunity</w:t>
            </w:r>
          </w:p>
        </w:tc>
      </w:tr>
      <w:tr>
        <w:tc>
          <w:tcPr>
            <w:tcW w:type="dxa" w:w="1440"/>
            <w:shd w:fill="F8FAFC"/>
            <w:tcMar>
              <w:top w:w="120" w:type="dxa"/>
              <w:bottom w:w="120" w:type="dxa"/>
              <w:left w:w="160" w:type="dxa"/>
              <w:right w:w="160" w:type="dxa"/>
            </w:tcMar>
          </w:tcPr>
          <w:p>
            <w:pPr>
              <w:spacing w:before="40" w:after="40" w:line="276" w:lineRule="auto"/>
            </w:pPr>
            <w:r>
              <w:rPr>
                <w:rFonts w:ascii="Calibri" w:hAnsi="Calibri"/>
                <w:color w:val="374151"/>
                <w:sz w:val="19"/>
              </w:rPr>
              <w:t>11/09/2025</w:t>
            </w:r>
          </w:p>
        </w:tc>
        <w:tc>
          <w:tcPr>
            <w:tcW w:type="dxa" w:w="1152"/>
            <w:shd w:fill="F8FAFC"/>
            <w:tcMar>
              <w:top w:w="120" w:type="dxa"/>
              <w:bottom w:w="120" w:type="dxa"/>
              <w:left w:w="160" w:type="dxa"/>
              <w:right w:w="160" w:type="dxa"/>
            </w:tcMar>
          </w:tcPr>
          <w:p>
            <w:pPr>
              <w:spacing w:before="40" w:after="40" w:line="276" w:lineRule="auto"/>
            </w:pPr>
            <w:r>
              <w:rPr>
                <w:rFonts w:ascii="Calibri" w:hAnsi="Calibri"/>
                <w:color w:val="374151"/>
                <w:sz w:val="19"/>
              </w:rPr>
              <w:t>A</w:t>
            </w:r>
          </w:p>
        </w:tc>
        <w:tc>
          <w:tcPr>
            <w:tcW w:type="dxa" w:w="1584"/>
            <w:shd w:fill="F8FAFC"/>
            <w:tcMar>
              <w:top w:w="120" w:type="dxa"/>
              <w:bottom w:w="120" w:type="dxa"/>
              <w:left w:w="160" w:type="dxa"/>
              <w:right w:w="160" w:type="dxa"/>
            </w:tcMar>
          </w:tcPr>
          <w:p>
            <w:pPr>
              <w:spacing w:before="40" w:after="40" w:line="276" w:lineRule="auto"/>
            </w:pPr>
            <w:r>
              <w:rPr>
                <w:rFonts w:ascii="Calibri" w:hAnsi="Calibri"/>
                <w:color w:val="374151"/>
                <w:sz w:val="19"/>
              </w:rPr>
              <w:t>MinhLV</w:t>
            </w:r>
          </w:p>
        </w:tc>
        <w:tc>
          <w:tcPr>
            <w:tcW w:type="dxa" w:w="5904"/>
            <w:shd w:fill="F8FAFC"/>
            <w:tcMar>
              <w:top w:w="120" w:type="dxa"/>
              <w:bottom w:w="120" w:type="dxa"/>
              <w:left w:w="160" w:type="dxa"/>
              <w:right w:w="160" w:type="dxa"/>
            </w:tcMar>
          </w:tcPr>
          <w:p>
            <w:pPr>
              <w:spacing w:before="40" w:after="40" w:line="276" w:lineRule="auto"/>
            </w:pPr>
            <w:r>
              <w:rPr>
                <w:rFonts w:ascii="Calibri" w:hAnsi="Calibri"/>
                <w:color w:val="374151"/>
                <w:sz w:val="19"/>
              </w:rPr>
              <w:t>Define project scope, core feature list, and system limitations</w:t>
            </w:r>
          </w:p>
        </w:tc>
      </w:tr>
      <w:tr>
        <w:tc>
          <w:tcPr>
            <w:tcW w:type="dxa" w:w="1440"/>
            <w:shd w:fill="FFFFFF"/>
            <w:tcMar>
              <w:top w:w="120" w:type="dxa"/>
              <w:bottom w:w="120" w:type="dxa"/>
              <w:left w:w="160" w:type="dxa"/>
              <w:right w:w="160" w:type="dxa"/>
            </w:tcMar>
          </w:tcPr>
          <w:p>
            <w:pPr>
              <w:spacing w:before="40" w:after="40" w:line="276" w:lineRule="auto"/>
            </w:pPr>
            <w:r>
              <w:rPr>
                <w:rFonts w:ascii="Calibri" w:hAnsi="Calibri"/>
                <w:color w:val="374151"/>
                <w:sz w:val="19"/>
              </w:rPr>
              <w:t>13/09/2025</w:t>
            </w:r>
          </w:p>
        </w:tc>
        <w:tc>
          <w:tcPr>
            <w:tcW w:type="dxa" w:w="1152"/>
            <w:shd w:fill="FFFFFF"/>
            <w:tcMar>
              <w:top w:w="120" w:type="dxa"/>
              <w:bottom w:w="120" w:type="dxa"/>
              <w:left w:w="160" w:type="dxa"/>
              <w:right w:w="160" w:type="dxa"/>
            </w:tcMar>
          </w:tcPr>
          <w:p>
            <w:pPr>
              <w:spacing w:before="40" w:after="40" w:line="276" w:lineRule="auto"/>
            </w:pPr>
            <w:r>
              <w:rPr>
                <w:rFonts w:ascii="Calibri" w:hAnsi="Calibri"/>
                <w:color w:val="374151"/>
                <w:sz w:val="19"/>
              </w:rPr>
              <w:t>M</w:t>
            </w:r>
          </w:p>
        </w:tc>
        <w:tc>
          <w:tcPr>
            <w:tcW w:type="dxa" w:w="1584"/>
            <w:shd w:fill="FFFFFF"/>
            <w:tcMar>
              <w:top w:w="120" w:type="dxa"/>
              <w:bottom w:w="120" w:type="dxa"/>
              <w:left w:w="160" w:type="dxa"/>
              <w:right w:w="160" w:type="dxa"/>
            </w:tcMar>
          </w:tcPr>
          <w:p>
            <w:pPr>
              <w:spacing w:before="40" w:after="40" w:line="276" w:lineRule="auto"/>
            </w:pPr>
            <w:r>
              <w:rPr>
                <w:rFonts w:ascii="Calibri" w:hAnsi="Calibri"/>
                <w:color w:val="374151"/>
                <w:sz w:val="19"/>
              </w:rPr>
              <w:t>All</w:t>
            </w:r>
          </w:p>
        </w:tc>
        <w:tc>
          <w:tcPr>
            <w:tcW w:type="dxa" w:w="5904"/>
            <w:shd w:fill="FFFFFF"/>
            <w:tcMar>
              <w:top w:w="120" w:type="dxa"/>
              <w:bottom w:w="120" w:type="dxa"/>
              <w:left w:w="160" w:type="dxa"/>
              <w:right w:w="160" w:type="dxa"/>
            </w:tcMar>
          </w:tcPr>
          <w:p>
            <w:pPr>
              <w:spacing w:before="40" w:after="40" w:line="276" w:lineRule="auto"/>
            </w:pPr>
            <w:r>
              <w:rPr>
                <w:rFonts w:ascii="Calibri" w:hAnsi="Calibri"/>
                <w:color w:val="374151"/>
                <w:sz w:val="19"/>
              </w:rPr>
              <w:t>Refine product background, target users, and competitive systems analysis</w:t>
            </w:r>
          </w:p>
        </w:tc>
      </w:tr>
      <w:tr>
        <w:tc>
          <w:tcPr>
            <w:tcW w:type="dxa" w:w="1440"/>
            <w:shd w:fill="F8FAFC"/>
            <w:tcMar>
              <w:top w:w="120" w:type="dxa"/>
              <w:bottom w:w="120" w:type="dxa"/>
              <w:left w:w="160" w:type="dxa"/>
              <w:right w:w="160" w:type="dxa"/>
            </w:tcMar>
          </w:tcPr>
          <w:p>
            <w:pPr>
              <w:spacing w:before="40" w:after="40" w:line="276" w:lineRule="auto"/>
            </w:pPr>
            <w:r>
              <w:rPr>
                <w:rFonts w:ascii="Calibri" w:hAnsi="Calibri"/>
                <w:color w:val="374151"/>
                <w:sz w:val="19"/>
              </w:rPr>
              <w:t>15/09/2025</w:t>
            </w:r>
          </w:p>
        </w:tc>
        <w:tc>
          <w:tcPr>
            <w:tcW w:type="dxa" w:w="1152"/>
            <w:shd w:fill="F8FAFC"/>
            <w:tcMar>
              <w:top w:w="120" w:type="dxa"/>
              <w:bottom w:w="120" w:type="dxa"/>
              <w:left w:w="160" w:type="dxa"/>
              <w:right w:w="160" w:type="dxa"/>
            </w:tcMar>
          </w:tcPr>
          <w:p>
            <w:pPr>
              <w:spacing w:before="40" w:after="40" w:line="276" w:lineRule="auto"/>
            </w:pPr>
            <w:r>
              <w:rPr>
                <w:rFonts w:ascii="Calibri" w:hAnsi="Calibri"/>
                <w:color w:val="374151"/>
                <w:sz w:val="19"/>
              </w:rPr>
              <w:t>M</w:t>
            </w:r>
          </w:p>
        </w:tc>
        <w:tc>
          <w:tcPr>
            <w:tcW w:type="dxa" w:w="1584"/>
            <w:shd w:fill="F8FAFC"/>
            <w:tcMar>
              <w:top w:w="120" w:type="dxa"/>
              <w:bottom w:w="120" w:type="dxa"/>
              <w:left w:w="160" w:type="dxa"/>
              <w:right w:w="160" w:type="dxa"/>
            </w:tcMar>
          </w:tcPr>
          <w:p>
            <w:pPr>
              <w:spacing w:before="40" w:after="40" w:line="276" w:lineRule="auto"/>
            </w:pPr>
            <w:r>
              <w:rPr>
                <w:rFonts w:ascii="Calibri" w:hAnsi="Calibri"/>
                <w:color w:val="374151"/>
                <w:sz w:val="19"/>
              </w:rPr>
              <w:t>All</w:t>
            </w:r>
          </w:p>
        </w:tc>
        <w:tc>
          <w:tcPr>
            <w:tcW w:type="dxa" w:w="5904"/>
            <w:shd w:fill="F8FAFC"/>
            <w:tcMar>
              <w:top w:w="120" w:type="dxa"/>
              <w:bottom w:w="120" w:type="dxa"/>
              <w:left w:w="160" w:type="dxa"/>
              <w:right w:w="160" w:type="dxa"/>
            </w:tcMar>
          </w:tcPr>
          <w:p>
            <w:pPr>
              <w:spacing w:before="40" w:after="40" w:line="276" w:lineRule="auto"/>
            </w:pPr>
            <w:r>
              <w:rPr>
                <w:rFonts w:ascii="Calibri" w:hAnsi="Calibri"/>
                <w:color w:val="374151"/>
                <w:sz w:val="19"/>
              </w:rPr>
              <w:t>Align context diagram and specifications with initial backend architecture</w:t>
            </w:r>
          </w:p>
        </w:tc>
      </w:tr>
      <w:tr>
        <w:tc>
          <w:tcPr>
            <w:tcW w:type="dxa" w:w="1440"/>
            <w:shd w:fill="FFFFFF"/>
            <w:tcMar>
              <w:top w:w="120" w:type="dxa"/>
              <w:bottom w:w="120" w:type="dxa"/>
              <w:left w:w="160" w:type="dxa"/>
              <w:right w:w="160" w:type="dxa"/>
            </w:tcMar>
          </w:tcPr>
          <w:p>
            <w:pPr>
              <w:spacing w:before="40" w:after="40" w:line="276" w:lineRule="auto"/>
            </w:pPr>
            <w:r>
              <w:rPr>
                <w:rFonts w:ascii="Calibri" w:hAnsi="Calibri"/>
                <w:color w:val="374151"/>
                <w:sz w:val="19"/>
              </w:rPr>
              <w:t>25/10/2025</w:t>
            </w:r>
          </w:p>
        </w:tc>
        <w:tc>
          <w:tcPr>
            <w:tcW w:type="dxa" w:w="1152"/>
            <w:shd w:fill="FFFFFF"/>
            <w:tcMar>
              <w:top w:w="120" w:type="dxa"/>
              <w:bottom w:w="120" w:type="dxa"/>
              <w:left w:w="160" w:type="dxa"/>
              <w:right w:w="160" w:type="dxa"/>
            </w:tcMar>
          </w:tcPr>
          <w:p>
            <w:pPr>
              <w:spacing w:before="40" w:after="40" w:line="276" w:lineRule="auto"/>
            </w:pPr>
            <w:r>
              <w:rPr>
                <w:rFonts w:ascii="Calibri" w:hAnsi="Calibri"/>
                <w:color w:val="374151"/>
                <w:sz w:val="19"/>
              </w:rPr>
              <w:t>M</w:t>
            </w:r>
          </w:p>
        </w:tc>
        <w:tc>
          <w:tcPr>
            <w:tcW w:type="dxa" w:w="1584"/>
            <w:shd w:fill="FFFFFF"/>
            <w:tcMar>
              <w:top w:w="120" w:type="dxa"/>
              <w:bottom w:w="120" w:type="dxa"/>
              <w:left w:w="160" w:type="dxa"/>
              <w:right w:w="160" w:type="dxa"/>
            </w:tcMar>
          </w:tcPr>
          <w:p>
            <w:pPr>
              <w:spacing w:before="40" w:after="40" w:line="276" w:lineRule="auto"/>
            </w:pPr>
            <w:r>
              <w:rPr>
                <w:rFonts w:ascii="Calibri" w:hAnsi="Calibri"/>
                <w:color w:val="374151"/>
                <w:sz w:val="19"/>
              </w:rPr>
              <w:t>All</w:t>
            </w:r>
          </w:p>
        </w:tc>
        <w:tc>
          <w:tcPr>
            <w:tcW w:type="dxa" w:w="5904"/>
            <w:shd w:fill="FFFFFF"/>
            <w:tcMar>
              <w:top w:w="120" w:type="dxa"/>
              <w:bottom w:w="120" w:type="dxa"/>
              <w:left w:w="160" w:type="dxa"/>
              <w:right w:w="160" w:type="dxa"/>
            </w:tcMar>
          </w:tcPr>
          <w:p>
            <w:pPr>
              <w:spacing w:before="40" w:after="40" w:line="276" w:lineRule="auto"/>
            </w:pPr>
            <w:r>
              <w:rPr>
                <w:rFonts w:ascii="Calibri" w:hAnsi="Calibri"/>
                <w:color w:val="374151"/>
                <w:sz w:val="19"/>
              </w:rPr>
              <w:t>Refactor storage architecture to Hybrid Mini-PACS (Multer Stream + DICOM Archives)</w:t>
            </w:r>
          </w:p>
        </w:tc>
      </w:tr>
      <w:tr>
        <w:tc>
          <w:tcPr>
            <w:tcW w:type="dxa" w:w="1440"/>
            <w:shd w:fill="F8FAFC"/>
            <w:tcMar>
              <w:top w:w="120" w:type="dxa"/>
              <w:bottom w:w="120" w:type="dxa"/>
              <w:left w:w="160" w:type="dxa"/>
              <w:right w:w="160" w:type="dxa"/>
            </w:tcMar>
          </w:tcPr>
          <w:p>
            <w:pPr>
              <w:spacing w:before="40" w:after="40" w:line="276" w:lineRule="auto"/>
            </w:pPr>
            <w:r>
              <w:rPr>
                <w:rFonts w:ascii="Calibri" w:hAnsi="Calibri"/>
                <w:color w:val="374151"/>
                <w:sz w:val="19"/>
              </w:rPr>
              <w:t>15/12/2025</w:t>
            </w:r>
          </w:p>
        </w:tc>
        <w:tc>
          <w:tcPr>
            <w:tcW w:type="dxa" w:w="1152"/>
            <w:shd w:fill="F8FAFC"/>
            <w:tcMar>
              <w:top w:w="120" w:type="dxa"/>
              <w:bottom w:w="120" w:type="dxa"/>
              <w:left w:w="160" w:type="dxa"/>
              <w:right w:w="160" w:type="dxa"/>
            </w:tcMar>
          </w:tcPr>
          <w:p>
            <w:pPr>
              <w:spacing w:before="40" w:after="40" w:line="276" w:lineRule="auto"/>
            </w:pPr>
            <w:r>
              <w:rPr>
                <w:rFonts w:ascii="Calibri" w:hAnsi="Calibri"/>
                <w:color w:val="374151"/>
                <w:sz w:val="19"/>
              </w:rPr>
              <w:t>M</w:t>
            </w:r>
          </w:p>
        </w:tc>
        <w:tc>
          <w:tcPr>
            <w:tcW w:type="dxa" w:w="1584"/>
            <w:shd w:fill="F8FAFC"/>
            <w:tcMar>
              <w:top w:w="120" w:type="dxa"/>
              <w:bottom w:w="120" w:type="dxa"/>
              <w:left w:w="160" w:type="dxa"/>
              <w:right w:w="160" w:type="dxa"/>
            </w:tcMar>
          </w:tcPr>
          <w:p>
            <w:pPr>
              <w:spacing w:before="40" w:after="40" w:line="276" w:lineRule="auto"/>
            </w:pPr>
            <w:r>
              <w:rPr>
                <w:rFonts w:ascii="Calibri" w:hAnsi="Calibri"/>
                <w:color w:val="374151"/>
                <w:sz w:val="19"/>
              </w:rPr>
              <w:t>All</w:t>
            </w:r>
          </w:p>
        </w:tc>
        <w:tc>
          <w:tcPr>
            <w:tcW w:type="dxa" w:w="5904"/>
            <w:shd w:fill="F8FAFC"/>
            <w:tcMar>
              <w:top w:w="120" w:type="dxa"/>
              <w:bottom w:w="120" w:type="dxa"/>
              <w:left w:w="160" w:type="dxa"/>
              <w:right w:w="160" w:type="dxa"/>
            </w:tcMar>
          </w:tcPr>
          <w:p>
            <w:pPr>
              <w:spacing w:before="40" w:after="40" w:line="276" w:lineRule="auto"/>
            </w:pPr>
            <w:r>
              <w:rPr>
                <w:rFonts w:ascii="Calibri" w:hAnsi="Calibri"/>
                <w:color w:val="374151"/>
                <w:sz w:val="19"/>
              </w:rPr>
              <w:t>Upgrade AI Engine to 3-tier MAICS (Bayesian CNNs + YOLOv8 + Gemini 3.1 VLM &amp; Privacy Guard)</w:t>
            </w:r>
          </w:p>
        </w:tc>
      </w:tr>
      <w:tr>
        <w:tc>
          <w:tcPr>
            <w:tcW w:type="dxa" w:w="1440"/>
            <w:shd w:fill="FFFFFF"/>
            <w:tcMar>
              <w:top w:w="120" w:type="dxa"/>
              <w:bottom w:w="120" w:type="dxa"/>
              <w:left w:w="160" w:type="dxa"/>
              <w:right w:w="160" w:type="dxa"/>
            </w:tcMar>
          </w:tcPr>
          <w:p>
            <w:pPr>
              <w:spacing w:before="40" w:after="40" w:line="276" w:lineRule="auto"/>
            </w:pPr>
            <w:r>
              <w:rPr>
                <w:rFonts w:ascii="Calibri" w:hAnsi="Calibri"/>
                <w:color w:val="374151"/>
                <w:sz w:val="19"/>
              </w:rPr>
              <w:t>20/03/2026</w:t>
            </w:r>
          </w:p>
        </w:tc>
        <w:tc>
          <w:tcPr>
            <w:tcW w:type="dxa" w:w="1152"/>
            <w:shd w:fill="FFFFFF"/>
            <w:tcMar>
              <w:top w:w="120" w:type="dxa"/>
              <w:bottom w:w="120" w:type="dxa"/>
              <w:left w:w="160" w:type="dxa"/>
              <w:right w:w="160" w:type="dxa"/>
            </w:tcMar>
          </w:tcPr>
          <w:p>
            <w:pPr>
              <w:spacing w:before="40" w:after="40" w:line="276" w:lineRule="auto"/>
            </w:pPr>
            <w:r>
              <w:rPr>
                <w:rFonts w:ascii="Calibri" w:hAnsi="Calibri"/>
                <w:color w:val="374151"/>
                <w:sz w:val="19"/>
              </w:rPr>
              <w:t>M</w:t>
            </w:r>
          </w:p>
        </w:tc>
        <w:tc>
          <w:tcPr>
            <w:tcW w:type="dxa" w:w="1584"/>
            <w:shd w:fill="FFFFFF"/>
            <w:tcMar>
              <w:top w:w="120" w:type="dxa"/>
              <w:bottom w:w="120" w:type="dxa"/>
              <w:left w:w="160" w:type="dxa"/>
              <w:right w:w="160" w:type="dxa"/>
            </w:tcMar>
          </w:tcPr>
          <w:p>
            <w:pPr>
              <w:spacing w:before="40" w:after="40" w:line="276" w:lineRule="auto"/>
            </w:pPr>
            <w:r>
              <w:rPr>
                <w:rFonts w:ascii="Calibri" w:hAnsi="Calibri"/>
                <w:color w:val="374151"/>
                <w:sz w:val="19"/>
              </w:rPr>
              <w:t>All</w:t>
            </w:r>
          </w:p>
        </w:tc>
        <w:tc>
          <w:tcPr>
            <w:tcW w:type="dxa" w:w="5904"/>
            <w:shd w:fill="FFFFFF"/>
            <w:tcMar>
              <w:top w:w="120" w:type="dxa"/>
              <w:bottom w:w="120" w:type="dxa"/>
              <w:left w:w="160" w:type="dxa"/>
              <w:right w:w="160" w:type="dxa"/>
            </w:tcMar>
          </w:tcPr>
          <w:p>
            <w:pPr>
              <w:spacing w:before="40" w:after="40" w:line="276" w:lineRule="auto"/>
            </w:pPr>
            <w:r>
              <w:rPr>
                <w:rFonts w:ascii="Calibri" w:hAnsi="Calibri"/>
                <w:color w:val="374151"/>
                <w:sz w:val="19"/>
              </w:rPr>
              <w:t>Standardize clinical workflows: MRI safety checklist, atomic bed reservation, BHYT &amp; VietQR PayOS</w:t>
            </w:r>
          </w:p>
        </w:tc>
      </w:tr>
      <w:tr>
        <w:tc>
          <w:tcPr>
            <w:tcW w:type="dxa" w:w="1440"/>
            <w:shd w:fill="F8FAFC"/>
            <w:tcMar>
              <w:top w:w="120" w:type="dxa"/>
              <w:bottom w:w="120" w:type="dxa"/>
              <w:left w:w="160" w:type="dxa"/>
              <w:right w:w="160" w:type="dxa"/>
            </w:tcMar>
          </w:tcPr>
          <w:p>
            <w:pPr>
              <w:spacing w:before="40" w:after="40" w:line="276" w:lineRule="auto"/>
            </w:pPr>
            <w:r>
              <w:rPr>
                <w:rFonts w:ascii="Calibri" w:hAnsi="Calibri"/>
                <w:color w:val="374151"/>
                <w:sz w:val="19"/>
              </w:rPr>
              <w:t>16/09/2026</w:t>
            </w:r>
          </w:p>
        </w:tc>
        <w:tc>
          <w:tcPr>
            <w:tcW w:type="dxa" w:w="1152"/>
            <w:shd w:fill="F8FAFC"/>
            <w:tcMar>
              <w:top w:w="120" w:type="dxa"/>
              <w:bottom w:w="120" w:type="dxa"/>
              <w:left w:w="160" w:type="dxa"/>
              <w:right w:w="160" w:type="dxa"/>
            </w:tcMar>
          </w:tcPr>
          <w:p>
            <w:pPr>
              <w:spacing w:before="40" w:after="40" w:line="276" w:lineRule="auto"/>
            </w:pPr>
            <w:r>
              <w:rPr>
                <w:rFonts w:ascii="Calibri" w:hAnsi="Calibri"/>
                <w:color w:val="374151"/>
                <w:sz w:val="19"/>
              </w:rPr>
              <w:t>M</w:t>
            </w:r>
          </w:p>
        </w:tc>
        <w:tc>
          <w:tcPr>
            <w:tcW w:type="dxa" w:w="1584"/>
            <w:shd w:fill="F8FAFC"/>
            <w:tcMar>
              <w:top w:w="120" w:type="dxa"/>
              <w:bottom w:w="120" w:type="dxa"/>
              <w:left w:w="160" w:type="dxa"/>
              <w:right w:w="160" w:type="dxa"/>
            </w:tcMar>
          </w:tcPr>
          <w:p>
            <w:pPr>
              <w:spacing w:before="40" w:after="40" w:line="276" w:lineRule="auto"/>
            </w:pPr>
            <w:r>
              <w:rPr>
                <w:rFonts w:ascii="Calibri" w:hAnsi="Calibri"/>
                <w:color w:val="374151"/>
                <w:sz w:val="19"/>
              </w:rPr>
              <w:t>All</w:t>
            </w:r>
          </w:p>
        </w:tc>
        <w:tc>
          <w:tcPr>
            <w:tcW w:type="dxa" w:w="5904"/>
            <w:shd w:fill="F8FAFC"/>
            <w:tcMar>
              <w:top w:w="120" w:type="dxa"/>
              <w:bottom w:w="120" w:type="dxa"/>
              <w:left w:w="160" w:type="dxa"/>
              <w:right w:w="160" w:type="dxa"/>
            </w:tcMar>
          </w:tcPr>
          <w:p>
            <w:pPr>
              <w:spacing w:before="40" w:after="40" w:line="276" w:lineRule="auto"/>
            </w:pPr>
            <w:r>
              <w:rPr>
                <w:rFonts w:ascii="Calibri" w:hAnsi="Calibri"/>
                <w:color w:val="374151"/>
                <w:sz w:val="19"/>
              </w:rPr>
              <w:t>Synchronize Report 1 with v3.2 Core Foundation, legal compliance (Circular 46/2018, Decree 13/2023) and 100% test completion</w:t>
            </w:r>
          </w:p>
        </w:tc>
      </w:tr>
    </w:tbl>
    <w:p>
      <w:pPr>
        <w:spacing w:before="0" w:after="320" w:line="276" w:lineRule="auto"/>
        <w:jc w:val="left"/>
      </w:pPr>
    </w:p>
    <w:p>
      <w:pPr>
        <w:pStyle w:val="Heading1"/>
        <w:spacing w:before="320" w:after="200" w:line="276" w:lineRule="auto"/>
        <w:jc w:val="left"/>
      </w:pPr>
      <w:r>
        <w:rPr>
          <w:rFonts w:ascii="Calibri" w:hAnsi="Calibri"/>
          <w:b/>
          <w:i w:val="0"/>
          <w:color w:val="0F4C81"/>
          <w:sz w:val="32"/>
        </w:rPr>
        <w:t>II. Project Introduction</w:t>
      </w:r>
    </w:p>
    <w:p>
      <w:pPr>
        <w:pStyle w:val="Heading2"/>
        <w:spacing w:before="200" w:after="120" w:line="276" w:lineRule="auto"/>
        <w:jc w:val="left"/>
      </w:pPr>
      <w:r>
        <w:rPr>
          <w:rFonts w:ascii="Calibri" w:hAnsi="Calibri"/>
          <w:b/>
          <w:i w:val="0"/>
          <w:color w:val="1E3A8A"/>
          <w:sz w:val="26"/>
        </w:rPr>
        <w:t>1. Overview</w:t>
      </w:r>
    </w:p>
    <w:p>
      <w:pPr>
        <w:pStyle w:val="Heading3"/>
        <w:spacing w:before="160" w:after="80" w:line="276" w:lineRule="auto"/>
        <w:jc w:val="left"/>
      </w:pPr>
      <w:r>
        <w:rPr>
          <w:rFonts w:ascii="Calibri" w:hAnsi="Calibri"/>
          <w:b/>
          <w:i w:val="0"/>
          <w:color w:val="2563EB"/>
          <w:sz w:val="23"/>
        </w:rPr>
        <w:t>1.1 Project Information</w:t>
      </w:r>
    </w:p>
    <w:p>
      <w:pPr>
        <w:spacing w:before="20" w:after="60" w:line="276" w:lineRule="auto"/>
        <w:jc w:val="left"/>
      </w:pPr>
      <w:r>
        <w:rPr>
          <w:rFonts w:ascii="Calibri" w:hAnsi="Calibri"/>
          <w:b/>
          <w:i w:val="0"/>
          <w:color w:val="1F2937"/>
          <w:sz w:val="21"/>
        </w:rPr>
        <w:t xml:space="preserve">Project Name: </w:t>
      </w:r>
      <w:r>
        <w:rPr>
          <w:rFonts w:ascii="Calibri" w:hAnsi="Calibri"/>
          <w:b w:val="0"/>
          <w:i w:val="0"/>
          <w:color w:val="374151"/>
          <w:sz w:val="21"/>
        </w:rPr>
        <w:t>Building a Multi-Facility Smart Healthcare Platform Unifying Cloud Hybrid Mini-PACS, Electronic Medical Records (EMR), Hospital Workflow Coordination, and AI-Assisted Brain Tumor Diagnosis (MAICS Ensemble) with Clinical Decision Support System and Medical-Ethics RAG Chatbot</w:t>
      </w:r>
    </w:p>
    <w:p>
      <w:pPr>
        <w:spacing w:before="20" w:after="60" w:line="276" w:lineRule="auto"/>
        <w:jc w:val="left"/>
      </w:pPr>
      <w:r>
        <w:rPr>
          <w:rFonts w:ascii="Calibri" w:hAnsi="Calibri"/>
          <w:b/>
          <w:i w:val="0"/>
          <w:color w:val="1F2937"/>
          <w:sz w:val="21"/>
        </w:rPr>
        <w:t xml:space="preserve">Project Code: </w:t>
      </w:r>
      <w:r>
        <w:rPr>
          <w:rFonts w:ascii="Calibri" w:hAnsi="Calibri"/>
          <w:b w:val="0"/>
          <w:i w:val="0"/>
          <w:color w:val="374151"/>
          <w:sz w:val="21"/>
        </w:rPr>
        <w:t>NeuroScan AI (NSA)</w:t>
      </w:r>
    </w:p>
    <w:p>
      <w:pPr>
        <w:spacing w:before="20" w:after="60" w:line="276" w:lineRule="auto"/>
        <w:jc w:val="left"/>
      </w:pPr>
      <w:r>
        <w:rPr>
          <w:rFonts w:ascii="Calibri" w:hAnsi="Calibri"/>
          <w:b/>
          <w:i w:val="0"/>
          <w:color w:val="1F2937"/>
          <w:sz w:val="21"/>
        </w:rPr>
        <w:t xml:space="preserve">Group Name: </w:t>
      </w:r>
      <w:r>
        <w:rPr>
          <w:rFonts w:ascii="Calibri" w:hAnsi="Calibri"/>
          <w:b w:val="0"/>
          <w:i w:val="0"/>
          <w:color w:val="374151"/>
          <w:sz w:val="21"/>
        </w:rPr>
        <w:t>SWD392-G5 / Capstone Project Team 5</w:t>
      </w:r>
    </w:p>
    <w:p>
      <w:pPr>
        <w:spacing w:before="20" w:after="60" w:line="276" w:lineRule="auto"/>
        <w:jc w:val="left"/>
      </w:pPr>
      <w:r>
        <w:rPr>
          <w:rFonts w:ascii="Calibri" w:hAnsi="Calibri"/>
          <w:b/>
          <w:i w:val="0"/>
          <w:color w:val="1F2937"/>
          <w:sz w:val="21"/>
        </w:rPr>
        <w:t xml:space="preserve">Software Type: </w:t>
      </w:r>
      <w:r>
        <w:rPr>
          <w:rFonts w:ascii="Calibri" w:hAnsi="Calibri"/>
          <w:b w:val="0"/>
          <w:i w:val="0"/>
          <w:color w:val="374151"/>
          <w:sz w:val="21"/>
        </w:rPr>
        <w:t>Universal Web App (Expo React Native Web), Mobile Application, Node.js Express Core Backend, Python FastAPI AI Diagnostic Microservice</w:t>
      </w:r>
    </w:p>
    <w:p>
      <w:pPr>
        <w:spacing w:before="20" w:after="60" w:line="276" w:lineRule="auto"/>
        <w:jc w:val="left"/>
      </w:pPr>
      <w:r>
        <w:rPr>
          <w:rFonts w:ascii="Calibri" w:hAnsi="Calibri"/>
          <w:b/>
          <w:i w:val="0"/>
          <w:color w:val="1F2937"/>
          <w:sz w:val="21"/>
        </w:rPr>
        <w:t xml:space="preserve">Target Domain: </w:t>
      </w:r>
      <w:r>
        <w:rPr>
          <w:rFonts w:ascii="Calibri" w:hAnsi="Calibri"/>
          <w:b w:val="0"/>
          <w:i w:val="0"/>
          <w:color w:val="374151"/>
          <w:sz w:val="21"/>
        </w:rPr>
        <w:t>Neuro-Oncology, Diagnostic Imaging (RIS/PACS), Hospital Information Systems (HIS), Electronic Medical Records (EMR)</w:t>
      </w:r>
    </w:p>
    <w:p>
      <w:pPr>
        <w:pStyle w:val="Heading3"/>
        <w:spacing w:before="200" w:after="120" w:line="276" w:lineRule="auto"/>
        <w:jc w:val="left"/>
      </w:pPr>
      <w:r>
        <w:rPr>
          <w:rFonts w:ascii="Calibri" w:hAnsi="Calibri"/>
          <w:b/>
          <w:i w:val="0"/>
          <w:color w:val="2563EB"/>
          <w:sz w:val="23"/>
        </w:rPr>
        <w:t>1.2 Project Team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62"/>
        <w:gridCol w:w="2262"/>
        <w:gridCol w:w="2262"/>
        <w:gridCol w:w="2262"/>
      </w:tblGrid>
      <w:tr>
        <w:tc>
          <w:tcPr>
            <w:tcW w:type="dxa" w:w="2304"/>
            <w:shd w:fill="F1F5F9"/>
            <w:tcMar>
              <w:top w:w="120" w:type="dxa"/>
              <w:bottom w:w="120" w:type="dxa"/>
              <w:left w:w="160" w:type="dxa"/>
              <w:right w:w="160" w:type="dxa"/>
            </w:tcMar>
          </w:tcPr>
          <w:p>
            <w:pPr>
              <w:spacing w:before="40" w:after="40" w:line="276" w:lineRule="auto"/>
            </w:pPr>
            <w:r>
              <w:rPr>
                <w:rFonts w:ascii="Calibri" w:hAnsi="Calibri"/>
                <w:b/>
                <w:color w:val="1F2937"/>
                <w:sz w:val="20"/>
              </w:rPr>
              <w:t>Full Name</w:t>
            </w:r>
          </w:p>
        </w:tc>
        <w:tc>
          <w:tcPr>
            <w:tcW w:type="dxa" w:w="1872"/>
            <w:shd w:fill="F1F5F9"/>
            <w:tcMar>
              <w:top w:w="120" w:type="dxa"/>
              <w:bottom w:w="120" w:type="dxa"/>
              <w:left w:w="160" w:type="dxa"/>
              <w:right w:w="160" w:type="dxa"/>
            </w:tcMar>
          </w:tcPr>
          <w:p>
            <w:pPr>
              <w:spacing w:before="40" w:after="40" w:line="276" w:lineRule="auto"/>
            </w:pPr>
            <w:r>
              <w:rPr>
                <w:rFonts w:ascii="Calibri" w:hAnsi="Calibri"/>
                <w:b/>
                <w:color w:val="1F2937"/>
                <w:sz w:val="20"/>
              </w:rPr>
              <w:t>Role</w:t>
            </w:r>
          </w:p>
        </w:tc>
        <w:tc>
          <w:tcPr>
            <w:tcW w:type="dxa" w:w="2304"/>
            <w:shd w:fill="F1F5F9"/>
            <w:tcMar>
              <w:top w:w="120" w:type="dxa"/>
              <w:bottom w:w="120" w:type="dxa"/>
              <w:left w:w="160" w:type="dxa"/>
              <w:right w:w="160" w:type="dxa"/>
            </w:tcMar>
          </w:tcPr>
          <w:p>
            <w:pPr>
              <w:spacing w:before="40" w:after="40" w:line="276" w:lineRule="auto"/>
            </w:pPr>
            <w:r>
              <w:rPr>
                <w:rFonts w:ascii="Calibri" w:hAnsi="Calibri"/>
                <w:b/>
                <w:color w:val="1F2937"/>
                <w:sz w:val="20"/>
              </w:rPr>
              <w:t>Email</w:t>
            </w:r>
          </w:p>
        </w:tc>
        <w:tc>
          <w:tcPr>
            <w:tcW w:type="dxa" w:w="3600"/>
            <w:shd w:fill="F1F5F9"/>
            <w:tcMar>
              <w:top w:w="120" w:type="dxa"/>
              <w:bottom w:w="120" w:type="dxa"/>
              <w:left w:w="160" w:type="dxa"/>
              <w:right w:w="160" w:type="dxa"/>
            </w:tcMar>
          </w:tcPr>
          <w:p>
            <w:pPr>
              <w:spacing w:before="40" w:after="40" w:line="276" w:lineRule="auto"/>
            </w:pPr>
            <w:r>
              <w:rPr>
                <w:rFonts w:ascii="Calibri" w:hAnsi="Calibri"/>
                <w:b/>
                <w:color w:val="1F2937"/>
                <w:sz w:val="20"/>
              </w:rPr>
              <w:t>Core Responsibilities</w:t>
            </w:r>
          </w:p>
        </w:tc>
      </w:tr>
      <w:tr>
        <w:tc>
          <w:tcPr>
            <w:tcW w:type="dxa" w:w="2304"/>
            <w:shd w:fill="F8FAFC"/>
            <w:tcMar>
              <w:top w:w="120" w:type="dxa"/>
              <w:bottom w:w="120" w:type="dxa"/>
              <w:left w:w="160" w:type="dxa"/>
              <w:right w:w="160" w:type="dxa"/>
            </w:tcMar>
          </w:tcPr>
          <w:p>
            <w:pPr>
              <w:spacing w:before="40" w:after="40" w:line="276" w:lineRule="auto"/>
            </w:pPr>
            <w:r>
              <w:rPr>
                <w:rFonts w:ascii="Calibri" w:hAnsi="Calibri"/>
                <w:color w:val="374151"/>
                <w:sz w:val="19"/>
              </w:rPr>
              <w:t>Nguyen Tuan Thanh</w:t>
            </w:r>
          </w:p>
        </w:tc>
        <w:tc>
          <w:tcPr>
            <w:tcW w:type="dxa" w:w="1872"/>
            <w:shd w:fill="F8FAFC"/>
            <w:tcMar>
              <w:top w:w="120" w:type="dxa"/>
              <w:bottom w:w="120" w:type="dxa"/>
              <w:left w:w="160" w:type="dxa"/>
              <w:right w:w="160" w:type="dxa"/>
            </w:tcMar>
          </w:tcPr>
          <w:p>
            <w:pPr>
              <w:spacing w:before="40" w:after="40" w:line="276" w:lineRule="auto"/>
            </w:pPr>
            <w:r>
              <w:rPr>
                <w:rFonts w:ascii="Calibri" w:hAnsi="Calibri"/>
                <w:color w:val="374151"/>
                <w:sz w:val="19"/>
              </w:rPr>
              <w:t>Leader / Full-Stack &amp; AI</w:t>
            </w:r>
          </w:p>
        </w:tc>
        <w:tc>
          <w:tcPr>
            <w:tcW w:type="dxa" w:w="2304"/>
            <w:shd w:fill="F8FAFC"/>
            <w:tcMar>
              <w:top w:w="120" w:type="dxa"/>
              <w:bottom w:w="120" w:type="dxa"/>
              <w:left w:w="160" w:type="dxa"/>
              <w:right w:w="160" w:type="dxa"/>
            </w:tcMar>
          </w:tcPr>
          <w:p>
            <w:pPr>
              <w:spacing w:before="40" w:after="40" w:line="276" w:lineRule="auto"/>
            </w:pPr>
            <w:r>
              <w:rPr>
                <w:rFonts w:ascii="Calibri" w:hAnsi="Calibri"/>
                <w:color w:val="374151"/>
                <w:sz w:val="19"/>
              </w:rPr>
              <w:t>thanhnt@fpt.edu.vn</w:t>
            </w:r>
          </w:p>
        </w:tc>
        <w:tc>
          <w:tcPr>
            <w:tcW w:type="dxa" w:w="3600"/>
            <w:shd w:fill="F8FAFC"/>
            <w:tcMar>
              <w:top w:w="120" w:type="dxa"/>
              <w:bottom w:w="120" w:type="dxa"/>
              <w:left w:w="160" w:type="dxa"/>
              <w:right w:w="160" w:type="dxa"/>
            </w:tcMar>
          </w:tcPr>
          <w:p>
            <w:pPr>
              <w:spacing w:before="40" w:after="40" w:line="276" w:lineRule="auto"/>
            </w:pPr>
            <w:r>
              <w:rPr>
                <w:rFonts w:ascii="Calibri" w:hAnsi="Calibri"/>
                <w:color w:val="374151"/>
                <w:sz w:val="19"/>
              </w:rPr>
              <w:t>System architecture, Node.js Core Backend, MAICS AI Engine, Hybrid Mini-PACS pipeline</w:t>
            </w:r>
          </w:p>
        </w:tc>
      </w:tr>
      <w:tr>
        <w:tc>
          <w:tcPr>
            <w:tcW w:type="dxa" w:w="2304"/>
            <w:shd w:fill="FFFFFF"/>
            <w:tcMar>
              <w:top w:w="120" w:type="dxa"/>
              <w:bottom w:w="120" w:type="dxa"/>
              <w:left w:w="160" w:type="dxa"/>
              <w:right w:w="160" w:type="dxa"/>
            </w:tcMar>
          </w:tcPr>
          <w:p>
            <w:pPr>
              <w:spacing w:before="40" w:after="40" w:line="276" w:lineRule="auto"/>
            </w:pPr>
            <w:r>
              <w:rPr>
                <w:rFonts w:ascii="Calibri" w:hAnsi="Calibri"/>
                <w:color w:val="374151"/>
                <w:sz w:val="19"/>
              </w:rPr>
              <w:t>Dinh Huy Hoang</w:t>
            </w:r>
          </w:p>
        </w:tc>
        <w:tc>
          <w:tcPr>
            <w:tcW w:type="dxa" w:w="1872"/>
            <w:shd w:fill="FFFFFF"/>
            <w:tcMar>
              <w:top w:w="120" w:type="dxa"/>
              <w:bottom w:w="120" w:type="dxa"/>
              <w:left w:w="160" w:type="dxa"/>
              <w:right w:w="160" w:type="dxa"/>
            </w:tcMar>
          </w:tcPr>
          <w:p>
            <w:pPr>
              <w:spacing w:before="40" w:after="40" w:line="276" w:lineRule="auto"/>
            </w:pPr>
            <w:r>
              <w:rPr>
                <w:rFonts w:ascii="Calibri" w:hAnsi="Calibri"/>
                <w:color w:val="374151"/>
                <w:sz w:val="19"/>
              </w:rPr>
              <w:t>Member / Backend &amp; EMR</w:t>
            </w:r>
          </w:p>
        </w:tc>
        <w:tc>
          <w:tcPr>
            <w:tcW w:type="dxa" w:w="2304"/>
            <w:shd w:fill="FFFFFF"/>
            <w:tcMar>
              <w:top w:w="120" w:type="dxa"/>
              <w:bottom w:w="120" w:type="dxa"/>
              <w:left w:w="160" w:type="dxa"/>
              <w:right w:w="160" w:type="dxa"/>
            </w:tcMar>
          </w:tcPr>
          <w:p>
            <w:pPr>
              <w:spacing w:before="40" w:after="40" w:line="276" w:lineRule="auto"/>
            </w:pPr>
            <w:r>
              <w:rPr>
                <w:rFonts w:ascii="Calibri" w:hAnsi="Calibri"/>
                <w:color w:val="374151"/>
                <w:sz w:val="19"/>
              </w:rPr>
              <w:t>hoangdh@fpt.edu.vn</w:t>
            </w:r>
          </w:p>
        </w:tc>
        <w:tc>
          <w:tcPr>
            <w:tcW w:type="dxa" w:w="3600"/>
            <w:shd w:fill="FFFFFF"/>
            <w:tcMar>
              <w:top w:w="120" w:type="dxa"/>
              <w:bottom w:w="120" w:type="dxa"/>
              <w:left w:w="160" w:type="dxa"/>
              <w:right w:w="160" w:type="dxa"/>
            </w:tcMar>
          </w:tcPr>
          <w:p>
            <w:pPr>
              <w:spacing w:before="40" w:after="40" w:line="276" w:lineRule="auto"/>
            </w:pPr>
            <w:r>
              <w:rPr>
                <w:rFonts w:ascii="Calibri" w:hAnsi="Calibri"/>
                <w:color w:val="374151"/>
                <w:sz w:val="19"/>
              </w:rPr>
              <w:t>Hospital workflow FSM, 14 EMR document types, Circular 46 digital signing</w:t>
            </w:r>
          </w:p>
        </w:tc>
      </w:tr>
      <w:tr>
        <w:tc>
          <w:tcPr>
            <w:tcW w:type="dxa" w:w="2304"/>
            <w:shd w:fill="F8FAFC"/>
            <w:tcMar>
              <w:top w:w="120" w:type="dxa"/>
              <w:bottom w:w="120" w:type="dxa"/>
              <w:left w:w="160" w:type="dxa"/>
              <w:right w:w="160" w:type="dxa"/>
            </w:tcMar>
          </w:tcPr>
          <w:p>
            <w:pPr>
              <w:spacing w:before="40" w:after="40" w:line="276" w:lineRule="auto"/>
            </w:pPr>
            <w:r>
              <w:rPr>
                <w:rFonts w:ascii="Calibri" w:hAnsi="Calibri"/>
                <w:color w:val="374151"/>
                <w:sz w:val="19"/>
              </w:rPr>
              <w:t>Le Hai Nam</w:t>
            </w:r>
          </w:p>
        </w:tc>
        <w:tc>
          <w:tcPr>
            <w:tcW w:type="dxa" w:w="1872"/>
            <w:shd w:fill="F8FAFC"/>
            <w:tcMar>
              <w:top w:w="120" w:type="dxa"/>
              <w:bottom w:w="120" w:type="dxa"/>
              <w:left w:w="160" w:type="dxa"/>
              <w:right w:w="160" w:type="dxa"/>
            </w:tcMar>
          </w:tcPr>
          <w:p>
            <w:pPr>
              <w:spacing w:before="40" w:after="40" w:line="276" w:lineRule="auto"/>
            </w:pPr>
            <w:r>
              <w:rPr>
                <w:rFonts w:ascii="Calibri" w:hAnsi="Calibri"/>
                <w:color w:val="374151"/>
                <w:sz w:val="19"/>
              </w:rPr>
              <w:t>Member / DevOps &amp; Security</w:t>
            </w:r>
          </w:p>
        </w:tc>
        <w:tc>
          <w:tcPr>
            <w:tcW w:type="dxa" w:w="2304"/>
            <w:shd w:fill="F8FAFC"/>
            <w:tcMar>
              <w:top w:w="120" w:type="dxa"/>
              <w:bottom w:w="120" w:type="dxa"/>
              <w:left w:w="160" w:type="dxa"/>
              <w:right w:w="160" w:type="dxa"/>
            </w:tcMar>
          </w:tcPr>
          <w:p>
            <w:pPr>
              <w:spacing w:before="40" w:after="40" w:line="276" w:lineRule="auto"/>
            </w:pPr>
            <w:r>
              <w:rPr>
                <w:rFonts w:ascii="Calibri" w:hAnsi="Calibri"/>
                <w:color w:val="374151"/>
                <w:sz w:val="19"/>
              </w:rPr>
              <w:t>namlh@fpt.edu.vn</w:t>
            </w:r>
          </w:p>
        </w:tc>
        <w:tc>
          <w:tcPr>
            <w:tcW w:type="dxa" w:w="3600"/>
            <w:shd w:fill="F8FAFC"/>
            <w:tcMar>
              <w:top w:w="120" w:type="dxa"/>
              <w:bottom w:w="120" w:type="dxa"/>
              <w:left w:w="160" w:type="dxa"/>
              <w:right w:w="160" w:type="dxa"/>
            </w:tcMar>
          </w:tcPr>
          <w:p>
            <w:pPr>
              <w:spacing w:before="40" w:after="40" w:line="276" w:lineRule="auto"/>
            </w:pPr>
            <w:r>
              <w:rPr>
                <w:rFonts w:ascii="Calibri" w:hAnsi="Calibri"/>
                <w:color w:val="374151"/>
                <w:sz w:val="19"/>
              </w:rPr>
              <w:t>Multi-tenancy isolation, Docker Compose, HIPAA masking, SHA-256 hash chain</w:t>
            </w:r>
          </w:p>
        </w:tc>
      </w:tr>
      <w:tr>
        <w:tc>
          <w:tcPr>
            <w:tcW w:type="dxa" w:w="2304"/>
            <w:shd w:fill="FFFFFF"/>
            <w:tcMar>
              <w:top w:w="120" w:type="dxa"/>
              <w:bottom w:w="120" w:type="dxa"/>
              <w:left w:w="160" w:type="dxa"/>
              <w:right w:w="160" w:type="dxa"/>
            </w:tcMar>
          </w:tcPr>
          <w:p>
            <w:pPr>
              <w:spacing w:before="40" w:after="40" w:line="276" w:lineRule="auto"/>
            </w:pPr>
            <w:r>
              <w:rPr>
                <w:rFonts w:ascii="Calibri" w:hAnsi="Calibri"/>
                <w:color w:val="374151"/>
                <w:sz w:val="19"/>
              </w:rPr>
              <w:t>Le Tran Gia Huy</w:t>
            </w:r>
          </w:p>
        </w:tc>
        <w:tc>
          <w:tcPr>
            <w:tcW w:type="dxa" w:w="1872"/>
            <w:shd w:fill="FFFFFF"/>
            <w:tcMar>
              <w:top w:w="120" w:type="dxa"/>
              <w:bottom w:w="120" w:type="dxa"/>
              <w:left w:w="160" w:type="dxa"/>
              <w:right w:w="160" w:type="dxa"/>
            </w:tcMar>
          </w:tcPr>
          <w:p>
            <w:pPr>
              <w:spacing w:before="40" w:after="40" w:line="276" w:lineRule="auto"/>
            </w:pPr>
            <w:r>
              <w:rPr>
                <w:rFonts w:ascii="Calibri" w:hAnsi="Calibri"/>
                <w:color w:val="374151"/>
                <w:sz w:val="19"/>
              </w:rPr>
              <w:t>Member / Frontend Lead</w:t>
            </w:r>
          </w:p>
        </w:tc>
        <w:tc>
          <w:tcPr>
            <w:tcW w:type="dxa" w:w="2304"/>
            <w:shd w:fill="FFFFFF"/>
            <w:tcMar>
              <w:top w:w="120" w:type="dxa"/>
              <w:bottom w:w="120" w:type="dxa"/>
              <w:left w:w="160" w:type="dxa"/>
              <w:right w:w="160" w:type="dxa"/>
            </w:tcMar>
          </w:tcPr>
          <w:p>
            <w:pPr>
              <w:spacing w:before="40" w:after="40" w:line="276" w:lineRule="auto"/>
            </w:pPr>
            <w:r>
              <w:rPr>
                <w:rFonts w:ascii="Calibri" w:hAnsi="Calibri"/>
                <w:color w:val="374151"/>
                <w:sz w:val="19"/>
              </w:rPr>
              <w:t>huyltg@fpt.edu.vn</w:t>
            </w:r>
          </w:p>
        </w:tc>
        <w:tc>
          <w:tcPr>
            <w:tcW w:type="dxa" w:w="3600"/>
            <w:shd w:fill="FFFFFF"/>
            <w:tcMar>
              <w:top w:w="120" w:type="dxa"/>
              <w:bottom w:w="120" w:type="dxa"/>
              <w:left w:w="160" w:type="dxa"/>
              <w:right w:w="160" w:type="dxa"/>
            </w:tcMar>
          </w:tcPr>
          <w:p>
            <w:pPr>
              <w:spacing w:before="40" w:after="40" w:line="276" w:lineRule="auto"/>
            </w:pPr>
            <w:r>
              <w:rPr>
                <w:rFonts w:ascii="Calibri" w:hAnsi="Calibri"/>
                <w:color w:val="374151"/>
                <w:sz w:val="19"/>
              </w:rPr>
              <w:t>Expo React Native Web UI, Doctor workstation, ImagingResult, Patient Portal</w:t>
            </w:r>
          </w:p>
        </w:tc>
      </w:tr>
      <w:tr>
        <w:tc>
          <w:tcPr>
            <w:tcW w:type="dxa" w:w="2304"/>
            <w:shd w:fill="F8FAFC"/>
            <w:tcMar>
              <w:top w:w="120" w:type="dxa"/>
              <w:bottom w:w="120" w:type="dxa"/>
              <w:left w:w="160" w:type="dxa"/>
              <w:right w:w="160" w:type="dxa"/>
            </w:tcMar>
          </w:tcPr>
          <w:p>
            <w:pPr>
              <w:spacing w:before="40" w:after="40" w:line="276" w:lineRule="auto"/>
            </w:pPr>
            <w:r>
              <w:rPr>
                <w:rFonts w:ascii="Calibri" w:hAnsi="Calibri"/>
                <w:color w:val="374151"/>
                <w:sz w:val="19"/>
              </w:rPr>
              <w:t>Le Van Minh</w:t>
            </w:r>
          </w:p>
        </w:tc>
        <w:tc>
          <w:tcPr>
            <w:tcW w:type="dxa" w:w="1872"/>
            <w:shd w:fill="F8FAFC"/>
            <w:tcMar>
              <w:top w:w="120" w:type="dxa"/>
              <w:bottom w:w="120" w:type="dxa"/>
              <w:left w:w="160" w:type="dxa"/>
              <w:right w:w="160" w:type="dxa"/>
            </w:tcMar>
          </w:tcPr>
          <w:p>
            <w:pPr>
              <w:spacing w:before="40" w:after="40" w:line="276" w:lineRule="auto"/>
            </w:pPr>
            <w:r>
              <w:rPr>
                <w:rFonts w:ascii="Calibri" w:hAnsi="Calibri"/>
                <w:color w:val="374151"/>
                <w:sz w:val="19"/>
              </w:rPr>
              <w:t>Member / AI &amp; Testing</w:t>
            </w:r>
          </w:p>
        </w:tc>
        <w:tc>
          <w:tcPr>
            <w:tcW w:type="dxa" w:w="2304"/>
            <w:shd w:fill="F8FAFC"/>
            <w:tcMar>
              <w:top w:w="120" w:type="dxa"/>
              <w:bottom w:w="120" w:type="dxa"/>
              <w:left w:w="160" w:type="dxa"/>
              <w:right w:w="160" w:type="dxa"/>
            </w:tcMar>
          </w:tcPr>
          <w:p>
            <w:pPr>
              <w:spacing w:before="40" w:after="40" w:line="276" w:lineRule="auto"/>
            </w:pPr>
            <w:r>
              <w:rPr>
                <w:rFonts w:ascii="Calibri" w:hAnsi="Calibri"/>
                <w:color w:val="374151"/>
                <w:sz w:val="19"/>
              </w:rPr>
              <w:t>minhlv@fpt.edu.vn</w:t>
            </w:r>
          </w:p>
        </w:tc>
        <w:tc>
          <w:tcPr>
            <w:tcW w:type="dxa" w:w="3600"/>
            <w:shd w:fill="F8FAFC"/>
            <w:tcMar>
              <w:top w:w="120" w:type="dxa"/>
              <w:bottom w:w="120" w:type="dxa"/>
              <w:left w:w="160" w:type="dxa"/>
              <w:right w:w="160" w:type="dxa"/>
            </w:tcMar>
          </w:tcPr>
          <w:p>
            <w:pPr>
              <w:spacing w:before="40" w:after="40" w:line="276" w:lineRule="auto"/>
            </w:pPr>
            <w:r>
              <w:rPr>
                <w:rFonts w:ascii="Calibri" w:hAnsi="Calibri"/>
                <w:color w:val="374151"/>
                <w:sz w:val="19"/>
              </w:rPr>
              <w:t>YOLOv8 localization, Grad-CAM heatmap explainability, automated test suites</w:t>
            </w:r>
          </w:p>
        </w:tc>
      </w:tr>
    </w:tbl>
    <w:p>
      <w:pPr>
        <w:spacing w:before="0" w:after="280" w:line="276" w:lineRule="auto"/>
        <w:jc w:val="left"/>
      </w:pPr>
    </w:p>
    <w:p>
      <w:pPr>
        <w:pStyle w:val="Heading2"/>
        <w:spacing w:before="280" w:after="120" w:line="276" w:lineRule="auto"/>
        <w:jc w:val="left"/>
      </w:pPr>
      <w:r>
        <w:rPr>
          <w:rFonts w:ascii="Calibri" w:hAnsi="Calibri"/>
          <w:b/>
          <w:i w:val="0"/>
          <w:color w:val="1E3A8A"/>
          <w:sz w:val="26"/>
        </w:rPr>
        <w:t>2. Product Background</w:t>
      </w:r>
    </w:p>
    <w:p>
      <w:pPr>
        <w:spacing w:before="0" w:after="160" w:line="276" w:lineRule="auto"/>
        <w:jc w:val="left"/>
      </w:pPr>
      <w:r>
        <w:rPr>
          <w:rFonts w:ascii="Calibri" w:hAnsi="Calibri"/>
          <w:b w:val="0"/>
          <w:i w:val="0"/>
          <w:sz w:val="21"/>
        </w:rPr>
        <w:t>In modern Vietnamese healthcare facilities, brain tumor diagnosis from cranial Magnetic Resonance Imaging (MRI) and Computed Tomography (CT) represents one of the most critical yet vulnerable clinical pathways. Despite substantial state investments in advanced 1.5 Tesla and 3.0 Tesla scanners (Siemens, GE Healthcare, Philips), the actual end-to-end diagnosis and medical records workflow remains heavily fragmented, paper-reliant, and vulnerable to severe operational and diagnostic bottlenecks. Conventional Picture Archiving and Communication Systems (PACS) from multinational vendors carry exorbitant procurement costs ($100,000 to over $500,000) alongside restrictive annual licensing fees, rendering them financially inaccessible to the vast majority of provincial hospitals, district medical centers, and private clinic networks across Vietnam.</w:t>
      </w:r>
    </w:p>
    <w:p>
      <w:pPr>
        <w:spacing w:before="0" w:after="160" w:line="276" w:lineRule="auto"/>
        <w:jc w:val="left"/>
      </w:pPr>
      <w:r>
        <w:rPr>
          <w:rFonts w:ascii="Calibri" w:hAnsi="Calibri"/>
          <w:b w:val="0"/>
          <w:i w:val="0"/>
          <w:sz w:val="21"/>
        </w:rPr>
        <w:t>Consequently, clinicians and radiologists are burdened by acute clinical challenges: an overwhelming shortage of sub-specialized neuro-radiologists, severe scanner domain shifts across different field strengths and acquisition sequences (T1, T2, FLAIR, T1-contrast), and fatigue-driven diagnostic oversights. In neuro-oncology, a false negative on high-grade infiltrative gliomas (misclassifying malignant tumors as normal brain tissue) is fatal. Simultaneously, hospital departments operate in data silos: outpatient consultations, MRI shooting queues, nursing care sheets, inpatient bed allocations, and cashier desks frequently rely on disconnected paper forms or isolated spreadsheets. Patients are forced to carry fragile physical films between facilities, which are easily degraded or lost, breaking continuity of care and forcing duplicate radiation or magnetic exposure.</w:t>
      </w:r>
    </w:p>
    <w:p>
      <w:pPr>
        <w:spacing w:before="120" w:after="80" w:line="276" w:lineRule="auto"/>
        <w:jc w:val="left"/>
      </w:pPr>
      <w:r>
        <w:rPr>
          <w:rFonts w:ascii="Calibri" w:hAnsi="Calibri"/>
          <w:b/>
          <w:i w:val="0"/>
          <w:color w:val="0F4C81"/>
          <w:sz w:val="22"/>
        </w:rPr>
        <w:t>Key User Groups &amp; Operational Needs:</w:t>
      </w:r>
    </w:p>
    <w:p>
      <w:pPr>
        <w:spacing w:before="40" w:after="60" w:line="276" w:lineRule="auto"/>
        <w:jc w:val="left"/>
      </w:pPr>
      <w:r>
        <w:rPr>
          <w:rFonts w:ascii="Calibri" w:hAnsi="Calibri"/>
          <w:b/>
          <w:i w:val="0"/>
          <w:color w:val="1F2937"/>
          <w:sz w:val="20"/>
        </w:rPr>
        <w:t xml:space="preserve">• Patients &amp; Family Members (B2C &amp; Inpatient/Outpatient): </w:t>
      </w:r>
      <w:r>
        <w:rPr>
          <w:rFonts w:ascii="Calibri" w:hAnsi="Calibri"/>
          <w:b w:val="0"/>
          <w:i w:val="0"/>
          <w:color w:val="374151"/>
          <w:sz w:val="20"/>
        </w:rPr>
        <w:t>Need an intuitive digital health record (storing 12 personal medical document types) accessible on mobile devices without carrying physical films; instant plain-language Hippocratic explanations translating dense radiological jargon; the ability to upload personal MRI films for AI-assisted second opinions; dynamic VietQR payment via PayOS; and secure inter-hospital QR code sharing (30-day token) that strictly complies with Vietnam Decree 13/2023/ND-CP by eliminating the storage of citizen identification numbers (CCCD/CMND).</w:t>
      </w:r>
    </w:p>
    <w:p>
      <w:pPr>
        <w:spacing w:before="40" w:after="60" w:line="276" w:lineRule="auto"/>
        <w:jc w:val="left"/>
      </w:pPr>
      <w:r>
        <w:rPr>
          <w:rFonts w:ascii="Calibri" w:hAnsi="Calibri"/>
          <w:b/>
          <w:i w:val="0"/>
          <w:color w:val="1F2937"/>
          <w:sz w:val="20"/>
        </w:rPr>
        <w:t xml:space="preserve">• Outpatient &amp; Inpatient Doctors (Ordering Clinicians): </w:t>
      </w:r>
      <w:r>
        <w:rPr>
          <w:rFonts w:ascii="Calibri" w:hAnsi="Calibri"/>
          <w:b w:val="0"/>
          <w:i w:val="0"/>
          <w:color w:val="374151"/>
          <w:sz w:val="20"/>
        </w:rPr>
        <w:t>Require rapid clinical examination tools, automated creation of MRI imaging orders (mriOrder), multidisciplinary Tumor Board consultation tools, electronic prescriptions with dosage validation, automated generation of discharge summaries, and real-time tracking of patient progress from clinic to inpatient wards.</w:t>
      </w:r>
    </w:p>
    <w:p>
      <w:pPr>
        <w:spacing w:before="40" w:after="60" w:line="276" w:lineRule="auto"/>
        <w:jc w:val="left"/>
      </w:pPr>
      <w:r>
        <w:rPr>
          <w:rFonts w:ascii="Calibri" w:hAnsi="Calibri"/>
          <w:b/>
          <w:i w:val="0"/>
          <w:color w:val="1F2937"/>
          <w:sz w:val="20"/>
        </w:rPr>
        <w:t xml:space="preserve">• Radiologists (Bác sĩ Chẩn đoán Hình ảnh): </w:t>
      </w:r>
      <w:r>
        <w:rPr>
          <w:rFonts w:ascii="Calibri" w:hAnsi="Calibri"/>
          <w:b w:val="0"/>
          <w:i w:val="0"/>
          <w:color w:val="374151"/>
          <w:sz w:val="20"/>
        </w:rPr>
        <w:t>Represent the sole legal diagnostic authority under Ministry of Health Decision 1895/1997/QD-BYT and Circular 46/2018/TT-BYT, distinct from the ordering doctor. They require side-by-side verification of original MRI slices against AI suggestions, YOLOv8 tumor bounding boxes, Grad-CAM heatmaps, and Bayesian uncertainty metrics; an Active Learning correction interface (logging feedback to feedback_log.csv); and one-click electronic signing stamping (✓ ĐÃ KÝ SỐ ĐIỆN TỬ) that renders the clinical report legally binding and immutable.</w:t>
      </w:r>
    </w:p>
    <w:p>
      <w:pPr>
        <w:spacing w:before="40" w:after="60" w:line="276" w:lineRule="auto"/>
        <w:jc w:val="left"/>
      </w:pPr>
      <w:r>
        <w:rPr>
          <w:rFonts w:ascii="Calibri" w:hAnsi="Calibri"/>
          <w:b/>
          <w:i w:val="0"/>
          <w:color w:val="1F2937"/>
          <w:sz w:val="20"/>
        </w:rPr>
        <w:t xml:space="preserve">• Nurses (Điều dưỡng tiếp đón &amp; Buồng bệnh): </w:t>
      </w:r>
      <w:r>
        <w:rPr>
          <w:rFonts w:ascii="Calibri" w:hAnsi="Calibri"/>
          <w:b w:val="0"/>
          <w:i w:val="0"/>
          <w:color w:val="374151"/>
          <w:sz w:val="20"/>
        </w:rPr>
        <w:t>Require 5 vital-sign monitoring (Blood Pressure, Pulse, Temperature, SpO2, Respiratory Rate), Glasgow Coma Scale (GCS) tracking for neurological inpatients, shift-based nursing care sheets, and an atomic bed reservation engine that prevents race condition double-booking (409 Conflict).</w:t>
      </w:r>
    </w:p>
    <w:p>
      <w:pPr>
        <w:spacing w:before="40" w:after="60" w:line="276" w:lineRule="auto"/>
        <w:jc w:val="left"/>
      </w:pPr>
      <w:r>
        <w:rPr>
          <w:rFonts w:ascii="Calibri" w:hAnsi="Calibri"/>
          <w:b/>
          <w:i w:val="0"/>
          <w:color w:val="1F2937"/>
          <w:sz w:val="20"/>
        </w:rPr>
        <w:t xml:space="preserve">• Technicians (Kỹ thuật viên phòng chụp MRI): </w:t>
      </w:r>
      <w:r>
        <w:rPr>
          <w:rFonts w:ascii="Calibri" w:hAnsi="Calibri"/>
          <w:b w:val="0"/>
          <w:i w:val="0"/>
          <w:color w:val="374151"/>
          <w:sz w:val="20"/>
        </w:rPr>
        <w:t>Require an optimized shooting worklist with clear billing status badges ('EMERGENCY: Scan first, pay later', 'BHYT: Pre-approved', 'Paid', 'Unpaid'); a mandatory 4-question MRI Safety Checklist that hard-blocks patients with pacemakers or ferromagnetic implants (HTTP 400); and dedicated exception flows for motion-artifact Rescan (chờ chụp lại) and claustrophobia Cancel (đã hủy).</w:t>
      </w:r>
    </w:p>
    <w:p>
      <w:pPr>
        <w:spacing w:before="40" w:after="60" w:line="276" w:lineRule="auto"/>
        <w:jc w:val="left"/>
      </w:pPr>
      <w:r>
        <w:rPr>
          <w:rFonts w:ascii="Calibri" w:hAnsi="Calibri"/>
          <w:b/>
          <w:i w:val="0"/>
          <w:color w:val="1F2937"/>
          <w:sz w:val="20"/>
        </w:rPr>
        <w:t xml:space="preserve">• Receptionists &amp; Cashiers: </w:t>
      </w:r>
      <w:r>
        <w:rPr>
          <w:rFonts w:ascii="Calibri" w:hAnsi="Calibri"/>
          <w:b w:val="0"/>
          <w:i w:val="0"/>
          <w:color w:val="374151"/>
          <w:sz w:val="20"/>
        </w:rPr>
        <w:t>Require fast patient intake via medicalId, automated BHYT health insurance co-pay calculation (80% to 100%), shortest-queue doctor allocation, and instant cashless hospital fee settlement via PayOS dynamic VietQR (Napas 24/7).</w:t>
      </w:r>
    </w:p>
    <w:p>
      <w:pPr>
        <w:spacing w:before="40" w:after="60" w:line="276" w:lineRule="auto"/>
        <w:jc w:val="left"/>
      </w:pPr>
      <w:r>
        <w:rPr>
          <w:rFonts w:ascii="Calibri" w:hAnsi="Calibri"/>
          <w:b/>
          <w:i w:val="0"/>
          <w:color w:val="1F2937"/>
          <w:sz w:val="20"/>
        </w:rPr>
        <w:t xml:space="preserve">• Hospital Administrators: </w:t>
      </w:r>
      <w:r>
        <w:rPr>
          <w:rFonts w:ascii="Calibri" w:hAnsi="Calibri"/>
          <w:b w:val="0"/>
          <w:i w:val="0"/>
          <w:color w:val="374151"/>
          <w:sz w:val="20"/>
        </w:rPr>
        <w:t>Require multi-facility configuration (tenancy.plugin.js), pricing catalog administration, MRI room and bed management, AI retraining activation, banned-word and system prompt tuning for the RAG chatbot, doctor medical practice certificate (CCHN) verification, and complete audit trail review.</w:t>
      </w:r>
    </w:p>
    <w:p>
      <w:pPr>
        <w:spacing w:before="160" w:after="160" w:line="276" w:lineRule="auto"/>
        <w:jc w:val="left"/>
      </w:pPr>
      <w:r>
        <w:rPr>
          <w:rFonts w:ascii="Calibri" w:hAnsi="Calibri"/>
          <w:b w:val="0"/>
          <w:i w:val="0"/>
          <w:sz w:val="21"/>
        </w:rPr>
        <w:t>NeuroScan AI bridges this systemic divide by integrating an advanced Multimodal AI Consensus System (MAICS) into an enterprise-grade, multi-tenant clinical platform. The system combines a 3-tier arbitration architecture: Bayesian CNN soft-voting ensemble (ResNet50 with Cost-Sensitive Risk Loss alpha=5.0, EfficientNetV2, DenseNet121 + BayTTA), YOLOv8 spatial localization, and Google Gemini 3.1 Flash-Lite VLM arbiter with an Anatomical Privacy Guard. Crucially, the platform introduces a Hybrid Mini-PACS breakthrough: uploading 1–3 representative Key Slices via direct Multer binary disk stream (1s load, zero RAM overflow) for instant Web EMR display and AI inference, while compressing the entire raw DICOM study (.zip &lt; 200MB) directly to Google Drive for neurosurgeons downloading to desktop diagnostic viewers (RadiAnt, Horos, 3D Slicer).</w:t>
      </w:r>
    </w:p>
    <w:p>
      <w:pPr>
        <w:spacing w:before="120" w:after="80" w:line="276" w:lineRule="auto"/>
        <w:jc w:val="left"/>
      </w:pPr>
      <w:r>
        <w:rPr>
          <w:rFonts w:ascii="Calibri" w:hAnsi="Calibri"/>
          <w:b/>
          <w:i w:val="0"/>
          <w:color w:val="0F4C81"/>
          <w:sz w:val="22"/>
        </w:rPr>
        <w:t>Core Clinical Pain Points &amp; Paradoxes Eliminated by NeuroScan AI:</w:t>
      </w:r>
    </w:p>
    <w:p>
      <w:pPr>
        <w:spacing w:before="20" w:after="40" w:line="276" w:lineRule="auto"/>
        <w:jc w:val="left"/>
      </w:pPr>
      <w:r>
        <w:rPr>
          <w:rFonts w:ascii="Calibri" w:hAnsi="Calibri"/>
          <w:b/>
          <w:i w:val="0"/>
          <w:color w:val="0F4C81"/>
          <w:sz w:val="20"/>
        </w:rPr>
        <w:t xml:space="preserve">1. </w:t>
      </w:r>
      <w:r>
        <w:rPr>
          <w:rFonts w:ascii="Calibri" w:hAnsi="Calibri"/>
          <w:b/>
          <w:i w:val="0"/>
          <w:color w:val="1F2937"/>
          <w:sz w:val="20"/>
        </w:rPr>
        <w:t xml:space="preserve">Subjective, Experience-Dependent Diagnosis: </w:t>
      </w:r>
      <w:r>
        <w:rPr>
          <w:rFonts w:ascii="Calibri" w:hAnsi="Calibri"/>
          <w:b w:val="0"/>
          <w:i w:val="0"/>
          <w:color w:val="374151"/>
          <w:sz w:val="20"/>
        </w:rPr>
        <w:t>Replaced with MAICS 3-tier consensus achieving &gt;=91% accuracy and cutting fatal false negatives to 0.43% on 3,461 clinical test images.</w:t>
      </w:r>
    </w:p>
    <w:p>
      <w:pPr>
        <w:spacing w:before="20" w:after="40" w:line="276" w:lineRule="auto"/>
        <w:jc w:val="left"/>
      </w:pPr>
      <w:r>
        <w:rPr>
          <w:rFonts w:ascii="Calibri" w:hAnsi="Calibri"/>
          <w:b/>
          <w:i w:val="0"/>
          <w:color w:val="0F4C81"/>
          <w:sz w:val="20"/>
        </w:rPr>
        <w:t xml:space="preserve">2. </w:t>
      </w:r>
      <w:r>
        <w:rPr>
          <w:rFonts w:ascii="Calibri" w:hAnsi="Calibri"/>
          <w:b/>
          <w:i w:val="0"/>
          <w:color w:val="1F2937"/>
          <w:sz w:val="20"/>
        </w:rPr>
        <w:t xml:space="preserve">Catastrophic MRI Magnetic Hazards: </w:t>
      </w:r>
      <w:r>
        <w:rPr>
          <w:rFonts w:ascii="Calibri" w:hAnsi="Calibri"/>
          <w:b w:val="0"/>
          <w:i w:val="0"/>
          <w:color w:val="374151"/>
          <w:sz w:val="20"/>
        </w:rPr>
        <w:t>Mandatory 4-criterion screening blocks pacemakers/ferromagnetic implants with HTTP 400 before patients enter the magnetic zone.</w:t>
      </w:r>
    </w:p>
    <w:p>
      <w:pPr>
        <w:spacing w:before="20" w:after="40" w:line="276" w:lineRule="auto"/>
        <w:jc w:val="left"/>
      </w:pPr>
      <w:r>
        <w:rPr>
          <w:rFonts w:ascii="Calibri" w:hAnsi="Calibri"/>
          <w:b/>
          <w:i w:val="0"/>
          <w:color w:val="0F4C81"/>
          <w:sz w:val="20"/>
        </w:rPr>
        <w:t xml:space="preserve">3. </w:t>
      </w:r>
      <w:r>
        <w:rPr>
          <w:rFonts w:ascii="Calibri" w:hAnsi="Calibri"/>
          <w:b/>
          <w:i w:val="0"/>
          <w:color w:val="1F2937"/>
          <w:sz w:val="20"/>
        </w:rPr>
        <w:t xml:space="preserve">Motion Blur &amp; Artifact Deadlocks: </w:t>
      </w:r>
      <w:r>
        <w:rPr>
          <w:rFonts w:ascii="Calibri" w:hAnsi="Calibri"/>
          <w:b w:val="0"/>
          <w:i w:val="0"/>
          <w:color w:val="374151"/>
          <w:sz w:val="20"/>
        </w:rPr>
        <w:t>Standardized Rescan (chờ chụp lại) and Cancel (đã hủy) states ensure patient comfort and prevent invalid image interpretation.</w:t>
      </w:r>
    </w:p>
    <w:p>
      <w:pPr>
        <w:spacing w:before="20" w:after="40" w:line="276" w:lineRule="auto"/>
        <w:jc w:val="left"/>
      </w:pPr>
      <w:r>
        <w:rPr>
          <w:rFonts w:ascii="Calibri" w:hAnsi="Calibri"/>
          <w:b/>
          <w:i w:val="0"/>
          <w:color w:val="0F4C81"/>
          <w:sz w:val="20"/>
        </w:rPr>
        <w:t xml:space="preserve">4. </w:t>
      </w:r>
      <w:r>
        <w:rPr>
          <w:rFonts w:ascii="Calibri" w:hAnsi="Calibri"/>
          <w:b/>
          <w:i w:val="0"/>
          <w:color w:val="1F2937"/>
          <w:sz w:val="20"/>
        </w:rPr>
        <w:t xml:space="preserve">Bed Reservation Hijacking (Race Conditions): </w:t>
      </w:r>
      <w:r>
        <w:rPr>
          <w:rFonts w:ascii="Calibri" w:hAnsi="Calibri"/>
          <w:b w:val="0"/>
          <w:i w:val="0"/>
          <w:color w:val="374151"/>
          <w:sz w:val="20"/>
        </w:rPr>
        <w:t>Atomic MongoDB operations (findOneAndUpdate) guarantee that concurrent bed assignments receive clean 409 Conflict responses.</w:t>
      </w:r>
    </w:p>
    <w:p>
      <w:pPr>
        <w:spacing w:before="20" w:after="40" w:line="276" w:lineRule="auto"/>
        <w:jc w:val="left"/>
      </w:pPr>
      <w:r>
        <w:rPr>
          <w:rFonts w:ascii="Calibri" w:hAnsi="Calibri"/>
          <w:b/>
          <w:i w:val="0"/>
          <w:color w:val="0F4C81"/>
          <w:sz w:val="20"/>
        </w:rPr>
        <w:t xml:space="preserve">5. </w:t>
      </w:r>
      <w:r>
        <w:rPr>
          <w:rFonts w:ascii="Calibri" w:hAnsi="Calibri"/>
          <w:b/>
          <w:i w:val="0"/>
          <w:color w:val="1F2937"/>
          <w:sz w:val="20"/>
        </w:rPr>
        <w:t xml:space="preserve">Web Browser RAM Crash from Bulky DICOM: </w:t>
      </w:r>
      <w:r>
        <w:rPr>
          <w:rFonts w:ascii="Calibri" w:hAnsi="Calibri"/>
          <w:b w:val="0"/>
          <w:i w:val="0"/>
          <w:color w:val="374151"/>
          <w:sz w:val="20"/>
        </w:rPr>
        <w:t>Hybrid Mini-PACS streams binary Key Slices (&lt;5MB) directly to disk, avoiding client-side Base64 RAM exhaustion.</w:t>
      </w:r>
    </w:p>
    <w:p>
      <w:pPr>
        <w:spacing w:before="20" w:after="40" w:line="276" w:lineRule="auto"/>
        <w:jc w:val="left"/>
      </w:pPr>
      <w:r>
        <w:rPr>
          <w:rFonts w:ascii="Calibri" w:hAnsi="Calibri"/>
          <w:b/>
          <w:i w:val="0"/>
          <w:color w:val="0F4C81"/>
          <w:sz w:val="20"/>
        </w:rPr>
        <w:t xml:space="preserve">6. </w:t>
      </w:r>
      <w:r>
        <w:rPr>
          <w:rFonts w:ascii="Calibri" w:hAnsi="Calibri"/>
          <w:b/>
          <w:i w:val="0"/>
          <w:color w:val="1F2937"/>
          <w:sz w:val="20"/>
        </w:rPr>
        <w:t xml:space="preserve">Unsigned, Legally Fragile EMR Records: </w:t>
      </w:r>
      <w:r>
        <w:rPr>
          <w:rFonts w:ascii="Calibri" w:hAnsi="Calibri"/>
          <w:b w:val="0"/>
          <w:i w:val="0"/>
          <w:color w:val="374151"/>
          <w:sz w:val="20"/>
        </w:rPr>
        <w:t>Full implementation of Circular 46/2018/TT-BYT digital signing (✓ ĐÃ KÝ SỐ ĐIỆN TỬ) and SHA-256 tamper-evident hash chaining.</w:t>
      </w:r>
    </w:p>
    <w:p>
      <w:pPr>
        <w:spacing w:before="20" w:after="40" w:line="276" w:lineRule="auto"/>
        <w:jc w:val="left"/>
      </w:pPr>
      <w:r>
        <w:rPr>
          <w:rFonts w:ascii="Calibri" w:hAnsi="Calibri"/>
          <w:b/>
          <w:i w:val="0"/>
          <w:color w:val="0F4C81"/>
          <w:sz w:val="20"/>
        </w:rPr>
        <w:t xml:space="preserve">7. </w:t>
      </w:r>
      <w:r>
        <w:rPr>
          <w:rFonts w:ascii="Calibri" w:hAnsi="Calibri"/>
          <w:b/>
          <w:i w:val="0"/>
          <w:color w:val="1F2937"/>
          <w:sz w:val="20"/>
        </w:rPr>
        <w:t xml:space="preserve">Patient Privacy Violations (Decree 13/2023/ND-CP): </w:t>
      </w:r>
      <w:r>
        <w:rPr>
          <w:rFonts w:ascii="Calibri" w:hAnsi="Calibri"/>
          <w:b w:val="0"/>
          <w:i w:val="0"/>
          <w:color w:val="374151"/>
          <w:sz w:val="20"/>
        </w:rPr>
        <w:t>Strict elimination of CCCD/CMND storage, paired with automated PII masking and tenant data isolation (tenancy.plugin.js).</w:t>
      </w:r>
    </w:p>
    <w:p>
      <w:pPr>
        <w:spacing w:before="0" w:after="280" w:line="276" w:lineRule="auto"/>
        <w:jc w:val="left"/>
      </w:pPr>
    </w:p>
    <w:p>
      <w:pPr>
        <w:pStyle w:val="Heading2"/>
        <w:spacing w:before="280" w:after="120" w:line="276" w:lineRule="auto"/>
        <w:jc w:val="left"/>
      </w:pPr>
      <w:r>
        <w:rPr>
          <w:rFonts w:ascii="Calibri" w:hAnsi="Calibri"/>
          <w:b/>
          <w:i w:val="0"/>
          <w:color w:val="1E3A8A"/>
          <w:sz w:val="26"/>
        </w:rPr>
        <w:t>3. Existing Systems Analysis</w:t>
      </w:r>
    </w:p>
    <w:p>
      <w:pPr>
        <w:pStyle w:val="Heading3"/>
        <w:spacing w:before="160" w:after="80" w:line="276" w:lineRule="auto"/>
        <w:jc w:val="left"/>
      </w:pPr>
      <w:r>
        <w:rPr>
          <w:rFonts w:ascii="Calibri" w:hAnsi="Calibri"/>
          <w:b/>
          <w:i w:val="0"/>
          <w:color w:val="2563EB"/>
          <w:sz w:val="23"/>
        </w:rPr>
        <w:t>3.1 VinBrain DrAid</w:t>
      </w:r>
    </w:p>
    <w:p>
      <w:pPr>
        <w:spacing w:before="0" w:after="80" w:line="276" w:lineRule="auto"/>
        <w:jc w:val="left"/>
      </w:pPr>
      <w:r>
        <w:rPr>
          <w:rFonts w:ascii="Calibri" w:hAnsi="Calibri"/>
          <w:b w:val="0"/>
          <w:i/>
          <w:color w:val="64748B"/>
          <w:sz w:val="19"/>
        </w:rPr>
        <w:t>Product Information: Developed by VinBrain (Vingroup) | Official Portals: https://vinbrain.net/en · https://draid.ai</w:t>
      </w:r>
    </w:p>
    <w:p>
      <w:pPr>
        <w:spacing w:before="20" w:after="60" w:line="276" w:lineRule="auto"/>
        <w:jc w:val="left"/>
      </w:pPr>
      <w:r>
        <w:rPr>
          <w:rFonts w:ascii="Calibri" w:hAnsi="Calibri"/>
          <w:b/>
          <w:i w:val="0"/>
          <w:color w:val="1F2937"/>
          <w:sz w:val="20"/>
        </w:rPr>
        <w:t xml:space="preserve">• System Actors: </w:t>
      </w:r>
      <w:r>
        <w:rPr>
          <w:rFonts w:ascii="Calibri" w:hAnsi="Calibri"/>
          <w:b w:val="0"/>
          <w:i w:val="0"/>
          <w:color w:val="374151"/>
          <w:sz w:val="20"/>
        </w:rPr>
        <w:t>Hospital Radiologists, Imaging Department Directors, Hospital IT Administrators, Clinicians.</w:t>
      </w:r>
    </w:p>
    <w:p>
      <w:pPr>
        <w:spacing w:before="20" w:after="60" w:line="276" w:lineRule="auto"/>
        <w:jc w:val="left"/>
      </w:pPr>
      <w:r>
        <w:rPr>
          <w:rFonts w:ascii="Calibri" w:hAnsi="Calibri"/>
          <w:b/>
          <w:i w:val="0"/>
          <w:color w:val="1F2937"/>
          <w:sz w:val="20"/>
        </w:rPr>
        <w:t xml:space="preserve">• Key Features: </w:t>
      </w:r>
      <w:r>
        <w:rPr>
          <w:rFonts w:ascii="Calibri" w:hAnsi="Calibri"/>
          <w:b w:val="0"/>
          <w:i w:val="0"/>
          <w:color w:val="374151"/>
          <w:sz w:val="20"/>
        </w:rPr>
        <w:t>Automated chest X-ray screening with US FDA 510(k) clearance; liver CT and oncology modules; deep native integration with hospital enterprise PACS/DICOM networks; flexible cloud/on-premise deployment; bounding box region-of-interest visualization.</w:t>
      </w:r>
    </w:p>
    <w:p>
      <w:pPr>
        <w:spacing w:before="20" w:after="60" w:line="276" w:lineRule="auto"/>
        <w:jc w:val="left"/>
      </w:pPr>
      <w:r>
        <w:rPr>
          <w:rFonts w:ascii="Calibri" w:hAnsi="Calibri"/>
          <w:b/>
          <w:i w:val="0"/>
          <w:color w:val="1F2937"/>
          <w:sz w:val="20"/>
        </w:rPr>
        <w:t xml:space="preserve">• Clinical Advantages: </w:t>
      </w:r>
      <w:r>
        <w:rPr>
          <w:rFonts w:ascii="Calibri" w:hAnsi="Calibri"/>
          <w:b w:val="0"/>
          <w:i w:val="0"/>
          <w:color w:val="374151"/>
          <w:sz w:val="20"/>
        </w:rPr>
        <w:t>Premier Vietnamese medical AI product with strong clinical credibility, domestic hospital adoption, Vietnamese language localization, and FDA clearance giving hospitals regulatory confidence.</w:t>
      </w:r>
    </w:p>
    <w:p>
      <w:pPr>
        <w:spacing w:before="20" w:after="60" w:line="276" w:lineRule="auto"/>
        <w:jc w:val="left"/>
      </w:pPr>
      <w:r>
        <w:rPr>
          <w:rFonts w:ascii="Calibri" w:hAnsi="Calibri"/>
          <w:b/>
          <w:i w:val="0"/>
          <w:color w:val="1F2937"/>
          <w:sz w:val="20"/>
        </w:rPr>
        <w:t xml:space="preserve">• Key Limitations: </w:t>
      </w:r>
      <w:r>
        <w:rPr>
          <w:rFonts w:ascii="Calibri" w:hAnsi="Calibri"/>
          <w:b w:val="0"/>
          <w:i w:val="0"/>
          <w:color w:val="374151"/>
          <w:sz w:val="20"/>
        </w:rPr>
        <w:t>DrAid is an enterprise-only radiology workstation tool. It has no patient-facing B2C portal (no self-scan MRI AI, no personal health book, no layman Hippocratic explanations, no QR sharing); does not manage the surrounding clinical workflow (reception, vital-sign triage, MRI safety screening, nursing care sheets, inpatient bed assignment, or VietQR PayOS billing); and lacks a 3-tier MAICS brain tumor ensemble architecture specifically engineered to minimize fatal false negatives on malignant gliomas.</w:t>
      </w:r>
    </w:p>
    <w:p>
      <w:pPr>
        <w:pStyle w:val="Heading3"/>
        <w:spacing w:before="200" w:after="80" w:line="276" w:lineRule="auto"/>
        <w:jc w:val="left"/>
      </w:pPr>
      <w:r>
        <w:rPr>
          <w:rFonts w:ascii="Calibri" w:hAnsi="Calibri"/>
          <w:b/>
          <w:i w:val="0"/>
          <w:color w:val="2563EB"/>
          <w:sz w:val="23"/>
        </w:rPr>
        <w:t>3.2 Qure.ai qER</w:t>
      </w:r>
    </w:p>
    <w:p>
      <w:pPr>
        <w:spacing w:before="0" w:after="80" w:line="276" w:lineRule="auto"/>
        <w:jc w:val="left"/>
      </w:pPr>
      <w:r>
        <w:rPr>
          <w:rFonts w:ascii="Calibri" w:hAnsi="Calibri"/>
          <w:b w:val="0"/>
          <w:i/>
          <w:color w:val="64748B"/>
          <w:sz w:val="19"/>
        </w:rPr>
        <w:t>Product Information: Developed by Qure.ai Technologies | Official Portal: https://qure.ai</w:t>
      </w:r>
    </w:p>
    <w:p>
      <w:pPr>
        <w:spacing w:before="20" w:after="60" w:line="276" w:lineRule="auto"/>
        <w:jc w:val="left"/>
      </w:pPr>
      <w:r>
        <w:rPr>
          <w:rFonts w:ascii="Calibri" w:hAnsi="Calibri"/>
          <w:b/>
          <w:i w:val="0"/>
          <w:color w:val="1F2937"/>
          <w:sz w:val="20"/>
        </w:rPr>
        <w:t xml:space="preserve">• System Actors: </w:t>
      </w:r>
      <w:r>
        <w:rPr>
          <w:rFonts w:ascii="Calibri" w:hAnsi="Calibri"/>
          <w:b w:val="0"/>
          <w:i w:val="0"/>
          <w:color w:val="374151"/>
          <w:sz w:val="20"/>
        </w:rPr>
        <w:t>Emergency Physicians, Trauma Specialists, Triage Radiologists, Public Health Program Managers.</w:t>
      </w:r>
    </w:p>
    <w:p>
      <w:pPr>
        <w:spacing w:before="20" w:after="60" w:line="276" w:lineRule="auto"/>
        <w:jc w:val="left"/>
      </w:pPr>
      <w:r>
        <w:rPr>
          <w:rFonts w:ascii="Calibri" w:hAnsi="Calibri"/>
          <w:b/>
          <w:i w:val="0"/>
          <w:color w:val="1F2937"/>
          <w:sz w:val="20"/>
        </w:rPr>
        <w:t xml:space="preserve">• Key Features: </w:t>
      </w:r>
      <w:r>
        <w:rPr>
          <w:rFonts w:ascii="Calibri" w:hAnsi="Calibri"/>
          <w:b w:val="0"/>
          <w:i w:val="0"/>
          <w:color w:val="374151"/>
          <w:sz w:val="20"/>
        </w:rPr>
        <w:t>Automated non-contrast head CT triage detecting intracranial hemorrhage, mass effect, skull fractures, and midline shift within 2–3 minutes; automated lesion volumetry (qER Quant); worklist priority flagging; cloud and edge hardware deployment.</w:t>
      </w:r>
    </w:p>
    <w:p>
      <w:pPr>
        <w:spacing w:before="20" w:after="60" w:line="276" w:lineRule="auto"/>
        <w:jc w:val="left"/>
      </w:pPr>
      <w:r>
        <w:rPr>
          <w:rFonts w:ascii="Calibri" w:hAnsi="Calibri"/>
          <w:b/>
          <w:i w:val="0"/>
          <w:color w:val="1F2937"/>
          <w:sz w:val="20"/>
        </w:rPr>
        <w:t xml:space="preserve">• Clinical Advantages: </w:t>
      </w:r>
      <w:r>
        <w:rPr>
          <w:rFonts w:ascii="Calibri" w:hAnsi="Calibri"/>
          <w:b w:val="0"/>
          <w:i w:val="0"/>
          <w:color w:val="374151"/>
          <w:sz w:val="20"/>
        </w:rPr>
        <w:t>Extensive global validation across 70+ countries; exceptional speed in critical emergency triage; proven ability to accelerate stroke and trauma door-to-treatment times.</w:t>
      </w:r>
    </w:p>
    <w:p>
      <w:pPr>
        <w:spacing w:before="20" w:after="60" w:line="276" w:lineRule="auto"/>
        <w:jc w:val="left"/>
      </w:pPr>
      <w:r>
        <w:rPr>
          <w:rFonts w:ascii="Calibri" w:hAnsi="Calibri"/>
          <w:b/>
          <w:i w:val="0"/>
          <w:color w:val="1F2937"/>
          <w:sz w:val="20"/>
        </w:rPr>
        <w:t xml:space="preserve">• Key Limitations: </w:t>
      </w:r>
      <w:r>
        <w:rPr>
          <w:rFonts w:ascii="Calibri" w:hAnsi="Calibri"/>
          <w:b w:val="0"/>
          <w:i w:val="0"/>
          <w:color w:val="374151"/>
          <w:sz w:val="20"/>
        </w:rPr>
        <w:t>Not localized for Vietnamese healthcare: lacks Vietnamese clinical report generation, does not support Ministry of Health EMR document types, offers no BHYT health insurance co-pay calculation, and lacks VietQR payment. Furthermore, it operates primarily as an emergency triage alert rather than an end-to-end hospital EMR system; lacks an Active Learning radiologist retraining loop; and provides zero patient engagement features.</w:t>
      </w:r>
    </w:p>
    <w:p>
      <w:pPr>
        <w:spacing w:before="0" w:after="280" w:line="276" w:lineRule="auto"/>
        <w:jc w:val="left"/>
      </w:pPr>
    </w:p>
    <w:p>
      <w:pPr>
        <w:pStyle w:val="Heading2"/>
        <w:spacing w:before="280" w:after="120" w:line="276" w:lineRule="auto"/>
        <w:jc w:val="left"/>
      </w:pPr>
      <w:r>
        <w:rPr>
          <w:rFonts w:ascii="Calibri" w:hAnsi="Calibri"/>
          <w:b/>
          <w:i w:val="0"/>
          <w:color w:val="1E3A8A"/>
          <w:sz w:val="26"/>
        </w:rPr>
        <w:t>4. Business Opportunity</w:t>
      </w:r>
    </w:p>
    <w:p>
      <w:pPr>
        <w:pStyle w:val="Heading3"/>
        <w:spacing w:before="160" w:after="80" w:line="276" w:lineRule="auto"/>
        <w:jc w:val="left"/>
      </w:pPr>
      <w:r>
        <w:rPr>
          <w:rFonts w:ascii="Calibri" w:hAnsi="Calibri"/>
          <w:b/>
          <w:i w:val="0"/>
          <w:color w:val="2563EB"/>
          <w:sz w:val="23"/>
        </w:rPr>
        <w:t>4.1 Market Trends and Strategic Fit</w:t>
      </w:r>
    </w:p>
    <w:p>
      <w:pPr>
        <w:spacing w:before="20" w:after="60" w:line="276" w:lineRule="auto"/>
        <w:jc w:val="left"/>
      </w:pPr>
      <w:r>
        <w:rPr>
          <w:rFonts w:ascii="Calibri" w:hAnsi="Calibri"/>
          <w:b/>
          <w:i w:val="0"/>
          <w:color w:val="1F2937"/>
          <w:sz w:val="20"/>
        </w:rPr>
        <w:t xml:space="preserve">• National Healthcare Digital Transformation: </w:t>
      </w:r>
      <w:r>
        <w:rPr>
          <w:rFonts w:ascii="Calibri" w:hAnsi="Calibri"/>
          <w:b w:val="0"/>
          <w:i w:val="0"/>
          <w:color w:val="374151"/>
          <w:sz w:val="20"/>
        </w:rPr>
        <w:t>The Vietnamese Government's National Digital Transformation Program (Decision 749/QD-TTg) and Ministry of Health Circular 46/2018/TT-BYT mandate that all public and private hospitals must transition to paperless EMRs and eliminate physical film printing by 2025–2030.</w:t>
      </w:r>
    </w:p>
    <w:p>
      <w:pPr>
        <w:spacing w:before="20" w:after="60" w:line="276" w:lineRule="auto"/>
        <w:jc w:val="left"/>
      </w:pPr>
      <w:r>
        <w:rPr>
          <w:rFonts w:ascii="Calibri" w:hAnsi="Calibri"/>
          <w:b/>
          <w:i w:val="0"/>
          <w:color w:val="1F2937"/>
          <w:sz w:val="20"/>
        </w:rPr>
        <w:t xml:space="preserve">• Acute Radiologist Deficit vs Surging Imaging Demand: </w:t>
      </w:r>
      <w:r>
        <w:rPr>
          <w:rFonts w:ascii="Calibri" w:hAnsi="Calibri"/>
          <w:b w:val="0"/>
          <w:i w:val="0"/>
          <w:color w:val="374151"/>
          <w:sz w:val="20"/>
        </w:rPr>
        <w:t>The volume of cranial MRI scans in Vietnam increases by &gt;15% annually, whereas the training of sub-specialized neuro-radiologists requires 9–12 years. District and provincial hospitals face a critical gap in diagnostic reading capacity.</w:t>
      </w:r>
    </w:p>
    <w:p>
      <w:pPr>
        <w:spacing w:before="20" w:after="60" w:line="276" w:lineRule="auto"/>
        <w:jc w:val="left"/>
      </w:pPr>
      <w:r>
        <w:rPr>
          <w:rFonts w:ascii="Calibri" w:hAnsi="Calibri"/>
          <w:b/>
          <w:i w:val="0"/>
          <w:color w:val="1F2937"/>
          <w:sz w:val="20"/>
        </w:rPr>
        <w:t xml:space="preserve">• Economic Inaccessibility of Traditional PACS: </w:t>
      </w:r>
      <w:r>
        <w:rPr>
          <w:rFonts w:ascii="Calibri" w:hAnsi="Calibri"/>
          <w:b w:val="0"/>
          <w:i w:val="0"/>
          <w:color w:val="374151"/>
          <w:sz w:val="20"/>
        </w:rPr>
        <w:t>Imported enterprise PACS installations require tens of billions of VND in capital investment. NeuroScan AI's Cloud Hybrid Mini-PACS offers a modern, high-performance alternative at a fraction of the cost.</w:t>
      </w:r>
    </w:p>
    <w:p>
      <w:pPr>
        <w:spacing w:before="20" w:after="60" w:line="276" w:lineRule="auto"/>
        <w:jc w:val="left"/>
      </w:pPr>
      <w:r>
        <w:rPr>
          <w:rFonts w:ascii="Calibri" w:hAnsi="Calibri"/>
          <w:b/>
          <w:i w:val="0"/>
          <w:color w:val="1F2937"/>
          <w:sz w:val="20"/>
        </w:rPr>
        <w:t xml:space="preserve">• B2B Clinical Infrastructure &amp; B2C Patient Convergence: </w:t>
      </w:r>
      <w:r>
        <w:rPr>
          <w:rFonts w:ascii="Calibri" w:hAnsi="Calibri"/>
          <w:b w:val="0"/>
          <w:i w:val="0"/>
          <w:color w:val="374151"/>
          <w:sz w:val="20"/>
        </w:rPr>
        <w:t>Hospitals require efficient, compliant multi-tenant clinical software (B2B), while Vietnamese citizens actively seek digital self-management of their health records and fast AI second opinions on mobile devices (B2C).</w:t>
      </w:r>
    </w:p>
    <w:p>
      <w:pPr>
        <w:pStyle w:val="Heading3"/>
        <w:spacing w:before="200" w:after="120" w:line="276" w:lineRule="auto"/>
        <w:jc w:val="left"/>
      </w:pPr>
      <w:r>
        <w:rPr>
          <w:rFonts w:ascii="Calibri" w:hAnsi="Calibri"/>
          <w:b/>
          <w:i w:val="0"/>
          <w:color w:val="2563EB"/>
          <w:sz w:val="23"/>
        </w:rPr>
        <w:t>4.2 Key Features and Clinical Benefits (Table 2)</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525"/>
        <w:gridCol w:w="4525"/>
      </w:tblGrid>
      <w:tr>
        <w:tc>
          <w:tcPr>
            <w:tcW w:type="dxa" w:w="3456"/>
            <w:shd w:fill="F1F5F9"/>
            <w:tcMar>
              <w:top w:w="120" w:type="dxa"/>
              <w:bottom w:w="120" w:type="dxa"/>
              <w:left w:w="160" w:type="dxa"/>
              <w:right w:w="160" w:type="dxa"/>
            </w:tcMar>
          </w:tcPr>
          <w:p>
            <w:pPr>
              <w:spacing w:before="40" w:after="40" w:line="276" w:lineRule="auto"/>
            </w:pPr>
            <w:r>
              <w:rPr>
                <w:rFonts w:ascii="Calibri" w:hAnsi="Calibri"/>
                <w:b/>
                <w:color w:val="1F2937"/>
                <w:sz w:val="20"/>
              </w:rPr>
              <w:t>Platform Dimension / Feature</w:t>
            </w:r>
          </w:p>
        </w:tc>
        <w:tc>
          <w:tcPr>
            <w:tcW w:type="dxa" w:w="6624"/>
            <w:shd w:fill="F1F5F9"/>
            <w:tcMar>
              <w:top w:w="120" w:type="dxa"/>
              <w:bottom w:w="120" w:type="dxa"/>
              <w:left w:w="160" w:type="dxa"/>
              <w:right w:w="160" w:type="dxa"/>
            </w:tcMar>
          </w:tcPr>
          <w:p>
            <w:pPr>
              <w:spacing w:before="40" w:after="40" w:line="276" w:lineRule="auto"/>
            </w:pPr>
            <w:r>
              <w:rPr>
                <w:rFonts w:ascii="Calibri" w:hAnsi="Calibri"/>
                <w:b/>
                <w:color w:val="1F2937"/>
                <w:sz w:val="20"/>
              </w:rPr>
              <w:t>Clinical &amp; Operational Benefit to Healthcare Facilities</w:t>
            </w:r>
          </w:p>
        </w:tc>
      </w:tr>
      <w:tr>
        <w:tc>
          <w:tcPr>
            <w:tcW w:type="dxa" w:w="3456"/>
            <w:shd w:fill="F8FAFC"/>
            <w:tcMar>
              <w:top w:w="120" w:type="dxa"/>
              <w:bottom w:w="120" w:type="dxa"/>
              <w:left w:w="160" w:type="dxa"/>
              <w:right w:w="160" w:type="dxa"/>
            </w:tcMar>
          </w:tcPr>
          <w:p>
            <w:pPr>
              <w:spacing w:before="40" w:after="40" w:line="276" w:lineRule="auto"/>
            </w:pPr>
            <w:r>
              <w:rPr>
                <w:rFonts w:ascii="Calibri" w:hAnsi="Calibri"/>
                <w:color w:val="374151"/>
                <w:sz w:val="19"/>
              </w:rPr>
              <w:t>MAICS Explainable AI Ensemble &amp; Spatial Localization</w:t>
            </w:r>
          </w:p>
        </w:tc>
        <w:tc>
          <w:tcPr>
            <w:tcW w:type="dxa" w:w="6624"/>
            <w:shd w:fill="F8FAFC"/>
            <w:tcMar>
              <w:top w:w="120" w:type="dxa"/>
              <w:bottom w:w="120" w:type="dxa"/>
              <w:left w:w="160" w:type="dxa"/>
              <w:right w:w="160" w:type="dxa"/>
            </w:tcMar>
          </w:tcPr>
          <w:p>
            <w:pPr>
              <w:spacing w:before="40" w:after="40" w:line="276" w:lineRule="auto"/>
            </w:pPr>
            <w:r>
              <w:rPr>
                <w:rFonts w:ascii="Calibri" w:hAnsi="Calibri"/>
                <w:color w:val="374151"/>
                <w:sz w:val="19"/>
              </w:rPr>
              <w:t>Bayesian CNN ensemble (ResNet50 risk loss alpha=5.0, EfficientNetV2, DenseNet121 + BayTTA) with YOLOv8 bounding boxes and Grad-CAM heatmaps; delivers reliable second opinions in &lt;2 seconds and reduces fatal false negatives to 0.43%.</w:t>
            </w:r>
          </w:p>
        </w:tc>
      </w:tr>
      <w:tr>
        <w:tc>
          <w:tcPr>
            <w:tcW w:type="dxa" w:w="3456"/>
            <w:shd w:fill="FFFFFF"/>
            <w:tcMar>
              <w:top w:w="120" w:type="dxa"/>
              <w:bottom w:w="120" w:type="dxa"/>
              <w:left w:w="160" w:type="dxa"/>
              <w:right w:w="160" w:type="dxa"/>
            </w:tcMar>
          </w:tcPr>
          <w:p>
            <w:pPr>
              <w:spacing w:before="40" w:after="40" w:line="276" w:lineRule="auto"/>
            </w:pPr>
            <w:r>
              <w:rPr>
                <w:rFonts w:ascii="Calibri" w:hAnsi="Calibri"/>
                <w:color w:val="374151"/>
                <w:sz w:val="19"/>
              </w:rPr>
              <w:t>Gemini 3.1 Flash-Lite VLM Arbiter &amp; Privacy Guard</w:t>
            </w:r>
          </w:p>
        </w:tc>
        <w:tc>
          <w:tcPr>
            <w:tcW w:type="dxa" w:w="6624"/>
            <w:shd w:fill="FFFFFF"/>
            <w:tcMar>
              <w:top w:w="120" w:type="dxa"/>
              <w:bottom w:w="120" w:type="dxa"/>
              <w:left w:w="160" w:type="dxa"/>
              <w:right w:w="160" w:type="dxa"/>
            </w:tcMar>
          </w:tcPr>
          <w:p>
            <w:pPr>
              <w:spacing w:before="40" w:after="40" w:line="276" w:lineRule="auto"/>
            </w:pPr>
            <w:r>
              <w:rPr>
                <w:rFonts w:ascii="Calibri" w:hAnsi="Calibri"/>
                <w:color w:val="374151"/>
                <w:sz w:val="19"/>
              </w:rPr>
              <w:t>Multimodal arbiter resolves model discrepancies with structured anatomical reasoning; Anatomical Privacy Guard filters Axial slices to block facial image leaks, cutting 79.5% external API costs.</w:t>
            </w:r>
          </w:p>
        </w:tc>
      </w:tr>
      <w:tr>
        <w:tc>
          <w:tcPr>
            <w:tcW w:type="dxa" w:w="3456"/>
            <w:shd w:fill="F8FAFC"/>
            <w:tcMar>
              <w:top w:w="120" w:type="dxa"/>
              <w:bottom w:w="120" w:type="dxa"/>
              <w:left w:w="160" w:type="dxa"/>
              <w:right w:w="160" w:type="dxa"/>
            </w:tcMar>
          </w:tcPr>
          <w:p>
            <w:pPr>
              <w:spacing w:before="40" w:after="40" w:line="276" w:lineRule="auto"/>
            </w:pPr>
            <w:r>
              <w:rPr>
                <w:rFonts w:ascii="Calibri" w:hAnsi="Calibri"/>
                <w:color w:val="374151"/>
                <w:sz w:val="19"/>
              </w:rPr>
              <w:t>Hybrid Mini-PACS &amp; Zero-RAM-Buffer Streaming</w:t>
            </w:r>
          </w:p>
        </w:tc>
        <w:tc>
          <w:tcPr>
            <w:tcW w:type="dxa" w:w="6624"/>
            <w:shd w:fill="F8FAFC"/>
            <w:tcMar>
              <w:top w:w="120" w:type="dxa"/>
              <w:bottom w:w="120" w:type="dxa"/>
              <w:left w:w="160" w:type="dxa"/>
              <w:right w:w="160" w:type="dxa"/>
            </w:tcMar>
          </w:tcPr>
          <w:p>
            <w:pPr>
              <w:spacing w:before="40" w:after="40" w:line="276" w:lineRule="auto"/>
            </w:pPr>
            <w:r>
              <w:rPr>
                <w:rFonts w:ascii="Calibri" w:hAnsi="Calibri"/>
                <w:color w:val="374151"/>
                <w:sz w:val="19"/>
              </w:rPr>
              <w:t>Direct Multer binary stream for Key Slices ensures instant 1s loading on Web EMR with zero browser RAM crashes, while complete raw DICOM studies (.zip &lt; 200MB) are archived to Google Drive for neurosurgical planning via RadiAnt/Horos.</w:t>
            </w:r>
          </w:p>
        </w:tc>
      </w:tr>
      <w:tr>
        <w:tc>
          <w:tcPr>
            <w:tcW w:type="dxa" w:w="3456"/>
            <w:shd w:fill="FFFFFF"/>
            <w:tcMar>
              <w:top w:w="120" w:type="dxa"/>
              <w:bottom w:w="120" w:type="dxa"/>
              <w:left w:w="160" w:type="dxa"/>
              <w:right w:w="160" w:type="dxa"/>
            </w:tcMar>
          </w:tcPr>
          <w:p>
            <w:pPr>
              <w:spacing w:before="40" w:after="40" w:line="276" w:lineRule="auto"/>
            </w:pPr>
            <w:r>
              <w:rPr>
                <w:rFonts w:ascii="Calibri" w:hAnsi="Calibri"/>
                <w:color w:val="374151"/>
                <w:sz w:val="19"/>
              </w:rPr>
              <w:t>Full 14-Type Hospital EMR &amp; TT46 Digital Signing</w:t>
            </w:r>
          </w:p>
        </w:tc>
        <w:tc>
          <w:tcPr>
            <w:tcW w:type="dxa" w:w="6624"/>
            <w:shd w:fill="FFFFFF"/>
            <w:tcMar>
              <w:top w:w="120" w:type="dxa"/>
              <w:bottom w:w="120" w:type="dxa"/>
              <w:left w:w="160" w:type="dxa"/>
              <w:right w:w="160" w:type="dxa"/>
            </w:tcMar>
          </w:tcPr>
          <w:p>
            <w:pPr>
              <w:spacing w:before="40" w:after="40" w:line="276" w:lineRule="auto"/>
            </w:pPr>
            <w:r>
              <w:rPr>
                <w:rFonts w:ascii="Calibri" w:hAnsi="Calibri"/>
                <w:color w:val="374151"/>
                <w:sz w:val="19"/>
              </w:rPr>
              <w:t>Complete Draft -&gt; Approved -&gt; Signed lifecycle stamped with ✓ ĐÃ KÝ SỐ ĐIỆN TỬ, locking records against tampering in strict compliance with Circular 46/2018/TT-BYT and protected by SHA-256 cryptographic hash chains.</w:t>
            </w:r>
          </w:p>
        </w:tc>
      </w:tr>
      <w:tr>
        <w:tc>
          <w:tcPr>
            <w:tcW w:type="dxa" w:w="3456"/>
            <w:shd w:fill="F8FAFC"/>
            <w:tcMar>
              <w:top w:w="120" w:type="dxa"/>
              <w:bottom w:w="120" w:type="dxa"/>
              <w:left w:w="160" w:type="dxa"/>
              <w:right w:w="160" w:type="dxa"/>
            </w:tcMar>
          </w:tcPr>
          <w:p>
            <w:pPr>
              <w:spacing w:before="40" w:after="40" w:line="276" w:lineRule="auto"/>
            </w:pPr>
            <w:r>
              <w:rPr>
                <w:rFonts w:ascii="Calibri" w:hAnsi="Calibri"/>
                <w:color w:val="374151"/>
                <w:sz w:val="19"/>
              </w:rPr>
              <w:t>Clinical Safety &amp; Concurrency Control Engine</w:t>
            </w:r>
          </w:p>
        </w:tc>
        <w:tc>
          <w:tcPr>
            <w:tcW w:type="dxa" w:w="6624"/>
            <w:shd w:fill="F8FAFC"/>
            <w:tcMar>
              <w:top w:w="120" w:type="dxa"/>
              <w:bottom w:w="120" w:type="dxa"/>
              <w:left w:w="160" w:type="dxa"/>
              <w:right w:w="160" w:type="dxa"/>
            </w:tcMar>
          </w:tcPr>
          <w:p>
            <w:pPr>
              <w:spacing w:before="40" w:after="40" w:line="276" w:lineRule="auto"/>
            </w:pPr>
            <w:r>
              <w:rPr>
                <w:rFonts w:ascii="Calibri" w:hAnsi="Calibri"/>
                <w:color w:val="374151"/>
                <w:sz w:val="19"/>
              </w:rPr>
              <w:t>Mandatory 4-criterion MRI checklist blocks pacemakers/ferromagnetic hazards with HTTP 400; standardized Rescan/Cancel exception flows; atomic bed reservation (findOneAndUpdate) eliminates race condition conflicts (409 Conflict).</w:t>
            </w:r>
          </w:p>
        </w:tc>
      </w:tr>
      <w:tr>
        <w:tc>
          <w:tcPr>
            <w:tcW w:type="dxa" w:w="3456"/>
            <w:shd w:fill="FFFFFF"/>
            <w:tcMar>
              <w:top w:w="120" w:type="dxa"/>
              <w:bottom w:w="120" w:type="dxa"/>
              <w:left w:w="160" w:type="dxa"/>
              <w:right w:w="160" w:type="dxa"/>
            </w:tcMar>
          </w:tcPr>
          <w:p>
            <w:pPr>
              <w:spacing w:before="40" w:after="40" w:line="276" w:lineRule="auto"/>
            </w:pPr>
            <w:r>
              <w:rPr>
                <w:rFonts w:ascii="Calibri" w:hAnsi="Calibri"/>
                <w:color w:val="374151"/>
                <w:sz w:val="19"/>
              </w:rPr>
              <w:t>Automated BHYT Co-Pay, VietQR PayOS &amp; Multi-Tenancy</w:t>
            </w:r>
          </w:p>
        </w:tc>
        <w:tc>
          <w:tcPr>
            <w:tcW w:type="dxa" w:w="6624"/>
            <w:shd w:fill="FFFFFF"/>
            <w:tcMar>
              <w:top w:w="120" w:type="dxa"/>
              <w:bottom w:w="120" w:type="dxa"/>
              <w:left w:w="160" w:type="dxa"/>
              <w:right w:w="160" w:type="dxa"/>
            </w:tcMar>
          </w:tcPr>
          <w:p>
            <w:pPr>
              <w:spacing w:before="40" w:after="40" w:line="276" w:lineRule="auto"/>
            </w:pPr>
            <w:r>
              <w:rPr>
                <w:rFonts w:ascii="Calibri" w:hAnsi="Calibri"/>
                <w:color w:val="374151"/>
                <w:sz w:val="19"/>
              </w:rPr>
              <w:t>Automatic 80%–100% BHYT co-pay calculation, instant cashless settlement via dynamic Napas 24/7 VietQR, and strict multi-facility database isolation (tenancy.plugin.js) complying with Decree 13/2023/ND-CP (no CCCD stored).</w:t>
            </w:r>
          </w:p>
        </w:tc>
      </w:tr>
    </w:tbl>
    <w:p>
      <w:pPr>
        <w:spacing w:before="0" w:after="280" w:line="276" w:lineRule="auto"/>
        <w:jc w:val="left"/>
      </w:pPr>
    </w:p>
    <w:p>
      <w:pPr>
        <w:pStyle w:val="Heading2"/>
        <w:spacing w:before="280" w:after="120" w:line="276" w:lineRule="auto"/>
        <w:jc w:val="left"/>
      </w:pPr>
      <w:r>
        <w:rPr>
          <w:rFonts w:ascii="Calibri" w:hAnsi="Calibri"/>
          <w:b/>
          <w:i w:val="0"/>
          <w:color w:val="1E3A8A"/>
          <w:sz w:val="26"/>
        </w:rPr>
        <w:t>5. Software Product Vision</w:t>
      </w:r>
    </w:p>
    <w:p>
      <w:pPr>
        <w:spacing w:before="0" w:after="160" w:line="276" w:lineRule="auto"/>
        <w:jc w:val="left"/>
      </w:pPr>
      <w:r>
        <w:rPr>
          <w:rFonts w:ascii="Calibri" w:hAnsi="Calibri"/>
          <w:b w:val="0"/>
          <w:i/>
          <w:sz w:val="21"/>
        </w:rPr>
        <w:t>For Vietnamese hospitals, medical centers, clinicians (radiologists, neurologists, surgeons, nurses), technicians, receptionists, and patients who require an accurate, explainable, safe, and legally compliant platform to diagnose and manage brain tumors from MRI/CT scans, NeuroScan AI is a multi-facility smart healthcare platform that unifies an advanced Multimodal AI Consensus System (MAICS), hybrid cloud Mini-PACS, and Electronic Medical Records (EMR) with the complete 10-step hospital clinical workflow into a single Vietnamese-first, multi-tenant application.</w:t>
      </w:r>
    </w:p>
    <w:p>
      <w:pPr>
        <w:spacing w:before="120" w:after="80" w:line="276" w:lineRule="auto"/>
        <w:jc w:val="left"/>
      </w:pPr>
      <w:r>
        <w:rPr>
          <w:rFonts w:ascii="Calibri" w:hAnsi="Calibri"/>
          <w:b/>
          <w:i w:val="0"/>
          <w:color w:val="0F4C81"/>
          <w:sz w:val="22"/>
        </w:rPr>
        <w:t>The Six Foundational Pillars of NeuroScan AI:</w:t>
      </w:r>
    </w:p>
    <w:p>
      <w:pPr>
        <w:spacing w:before="40" w:after="60" w:line="276" w:lineRule="auto"/>
        <w:jc w:val="left"/>
      </w:pPr>
      <w:r>
        <w:rPr>
          <w:rFonts w:ascii="Calibri" w:hAnsi="Calibri"/>
          <w:b/>
          <w:i w:val="0"/>
          <w:color w:val="1F2937"/>
          <w:sz w:val="20"/>
        </w:rPr>
        <w:t xml:space="preserve">1. Explainable AI Diagnosis &amp; Multimodal Arbitration (MAICS): </w:t>
      </w:r>
      <w:r>
        <w:rPr>
          <w:rFonts w:ascii="Calibri" w:hAnsi="Calibri"/>
          <w:b w:val="0"/>
          <w:i w:val="0"/>
          <w:color w:val="374151"/>
          <w:sz w:val="20"/>
        </w:rPr>
        <w:t>A 3-tier hierarchy uniting Bayesian CNN soft-voting (ResNet50 with risk-calibrated loss alpha=5.0, EfficientNetV2, DenseNet121 + BayTTA), YOLOv8 spatial tumor localization, and Google Gemini 3.1 Flash-Lite VLM arbiter, delivering explainable heatmaps and reducing fatal false negatives to 0.43%.</w:t>
      </w:r>
    </w:p>
    <w:p>
      <w:pPr>
        <w:spacing w:before="40" w:after="60" w:line="276" w:lineRule="auto"/>
        <w:jc w:val="left"/>
      </w:pPr>
      <w:r>
        <w:rPr>
          <w:rFonts w:ascii="Calibri" w:hAnsi="Calibri"/>
          <w:b/>
          <w:i w:val="0"/>
          <w:color w:val="1F2937"/>
          <w:sz w:val="20"/>
        </w:rPr>
        <w:t xml:space="preserve">2. Hybrid Cloud Mini-PACS &amp; Zero-RAM-Buffer Streaming: </w:t>
      </w:r>
      <w:r>
        <w:rPr>
          <w:rFonts w:ascii="Calibri" w:hAnsi="Calibri"/>
          <w:b w:val="0"/>
          <w:i w:val="0"/>
          <w:color w:val="374151"/>
          <w:sz w:val="20"/>
        </w:rPr>
        <w:t>Fast 2D Key Slice streaming directly to disk via Multer (1s load, zero RAM crash) paired with full raw DICOM study .zip cloud archival on Google Drive, bridging the gap between lightweight web browser review and heavy neurosurgical 3D planning.</w:t>
      </w:r>
    </w:p>
    <w:p>
      <w:pPr>
        <w:spacing w:before="40" w:after="60" w:line="276" w:lineRule="auto"/>
        <w:jc w:val="left"/>
      </w:pPr>
      <w:r>
        <w:rPr>
          <w:rFonts w:ascii="Calibri" w:hAnsi="Calibri"/>
          <w:b/>
          <w:i w:val="0"/>
          <w:color w:val="1F2937"/>
          <w:sz w:val="20"/>
        </w:rPr>
        <w:t xml:space="preserve">3. End-to-End 10-Step Hospital Clinical Workflow: </w:t>
      </w:r>
      <w:r>
        <w:rPr>
          <w:rFonts w:ascii="Calibri" w:hAnsi="Calibri"/>
          <w:b w:val="0"/>
          <w:i w:val="0"/>
          <w:color w:val="374151"/>
          <w:sz w:val="20"/>
        </w:rPr>
        <w:t>An integrated clinical Finite State Machine (FSM) synchronizing Reception &amp; BHYT -&gt; Vital-sign Triage -&gt; Clinical Exam -&gt; MRI Ordering -&gt; MRI Safety Checklist -&gt; Image Acquisition &amp; Streaming -&gt; Background AI Inference -&gt; Radiologist Verification &amp; Digital Signing -&gt; Inpatient Bed Allocation -&gt; Cashless VietQR PayOS Discharge.</w:t>
      </w:r>
    </w:p>
    <w:p>
      <w:pPr>
        <w:spacing w:before="40" w:after="60" w:line="276" w:lineRule="auto"/>
        <w:jc w:val="left"/>
      </w:pPr>
      <w:r>
        <w:rPr>
          <w:rFonts w:ascii="Calibri" w:hAnsi="Calibri"/>
          <w:b/>
          <w:i w:val="0"/>
          <w:color w:val="1F2937"/>
          <w:sz w:val="20"/>
        </w:rPr>
        <w:t xml:space="preserve">4. 14-Type Hospital EMR &amp; Circular 46 Digital Signing: </w:t>
      </w:r>
      <w:r>
        <w:rPr>
          <w:rFonts w:ascii="Calibri" w:hAnsi="Calibri"/>
          <w:b w:val="0"/>
          <w:i w:val="0"/>
          <w:color w:val="374151"/>
          <w:sz w:val="20"/>
        </w:rPr>
        <w:t>Full coverage of 14 statutory document types spanning 5 clinical groups, governed by a Draft -&gt; Approved -&gt; Signed lifecycle stamped with ✓ ĐÃ KÝ SỐ ĐIỆN TỬ, locking records against modification and protected by SHA-256 tamper-evident cryptographic hash chains.</w:t>
      </w:r>
    </w:p>
    <w:p>
      <w:pPr>
        <w:spacing w:before="40" w:after="60" w:line="276" w:lineRule="auto"/>
        <w:jc w:val="left"/>
      </w:pPr>
      <w:r>
        <w:rPr>
          <w:rFonts w:ascii="Calibri" w:hAnsi="Calibri"/>
          <w:b/>
          <w:i w:val="0"/>
          <w:color w:val="1F2937"/>
          <w:sz w:val="20"/>
        </w:rPr>
        <w:t xml:space="preserve">5. Patient-Centric B2C Health Book &amp; Inter-Hospital QR Sharing: </w:t>
      </w:r>
      <w:r>
        <w:rPr>
          <w:rFonts w:ascii="Calibri" w:hAnsi="Calibri"/>
          <w:b w:val="0"/>
          <w:i w:val="0"/>
          <w:color w:val="374151"/>
          <w:sz w:val="20"/>
        </w:rPr>
        <w:t>Empowering patients to maintain 12 personal health document types, self-scan personal MRI films for AI analysis, receive plain-language Hippocratic translations, and share records with any receiving hospital via a secure, time-limited (30 days) dynamic QR code.</w:t>
      </w:r>
    </w:p>
    <w:p>
      <w:pPr>
        <w:spacing w:before="40" w:after="60" w:line="276" w:lineRule="auto"/>
        <w:jc w:val="left"/>
      </w:pPr>
      <w:r>
        <w:rPr>
          <w:rFonts w:ascii="Calibri" w:hAnsi="Calibri"/>
          <w:b/>
          <w:i w:val="0"/>
          <w:color w:val="1F2937"/>
          <w:sz w:val="20"/>
        </w:rPr>
        <w:t xml:space="preserve">6. Security, Concurrency &amp; Regulatory Compliance by Design: </w:t>
      </w:r>
      <w:r>
        <w:rPr>
          <w:rFonts w:ascii="Calibri" w:hAnsi="Calibri"/>
          <w:b w:val="0"/>
          <w:i w:val="0"/>
          <w:color w:val="374151"/>
          <w:sz w:val="20"/>
        </w:rPr>
        <w:t>Strict multi-facility data isolation (tenancy.plugin.js), elimination of CCCD/CMND storage (Decree 13/2023/ND-CP), HIPAA Safe Harbor 18-rule de-identification, Break-Glass emergency override, and atomic concurrency control eliminating bed reservation race conditions.</w:t>
      </w:r>
    </w:p>
    <w:p>
      <w:pPr>
        <w:spacing w:before="0" w:after="280" w:line="276" w:lineRule="auto"/>
        <w:jc w:val="left"/>
      </w:pPr>
    </w:p>
    <w:p>
      <w:pPr>
        <w:pStyle w:val="Heading2"/>
        <w:spacing w:before="280" w:after="120" w:line="276" w:lineRule="auto"/>
        <w:jc w:val="left"/>
      </w:pPr>
      <w:r>
        <w:rPr>
          <w:rFonts w:ascii="Calibri" w:hAnsi="Calibri"/>
          <w:b/>
          <w:i w:val="0"/>
          <w:color w:val="1E3A8A"/>
          <w:sz w:val="26"/>
        </w:rPr>
        <w:t>6. Project Scope &amp; Limitations</w:t>
      </w:r>
    </w:p>
    <w:p>
      <w:pPr>
        <w:spacing w:before="0" w:after="160" w:line="276" w:lineRule="auto"/>
        <w:jc w:val="left"/>
      </w:pPr>
      <w:r>
        <w:rPr>
          <w:rFonts w:ascii="Calibri" w:hAnsi="Calibri"/>
          <w:b w:val="0"/>
          <w:i w:val="0"/>
          <w:sz w:val="21"/>
        </w:rPr>
        <w:t>The NeuroScan AI platform establishes an enterprise-grade digital clinical highway for neuro-oncology diagnosis and inpatient management in Vietnamese healthcare facilities. Serving six distinct user roles (Patients, Ordering Clinicians, Radiologists, Nurses, Imaging Technicians, and Hospital Administrators), the initial release delivers 18 major functional features while maintaining precise, realistic technical boundaries.</w:t>
      </w:r>
    </w:p>
    <w:p>
      <w:pPr>
        <w:pStyle w:val="Heading3"/>
        <w:spacing w:before="160" w:after="120" w:line="276" w:lineRule="auto"/>
        <w:jc w:val="left"/>
      </w:pPr>
      <w:r>
        <w:rPr>
          <w:rFonts w:ascii="Calibri" w:hAnsi="Calibri"/>
          <w:b/>
          <w:i w:val="0"/>
          <w:color w:val="2563EB"/>
          <w:sz w:val="23"/>
        </w:rPr>
        <w:t>6.1 Major Features (FE-01 to FE-18)</w:t>
      </w:r>
    </w:p>
    <w:p>
      <w:pPr>
        <w:spacing w:before="40" w:after="60" w:line="276" w:lineRule="auto"/>
        <w:jc w:val="left"/>
      </w:pPr>
      <w:r>
        <w:rPr>
          <w:rFonts w:ascii="Calibri" w:hAnsi="Calibri"/>
          <w:b/>
          <w:i w:val="0"/>
          <w:color w:val="0F4C81"/>
          <w:sz w:val="20"/>
        </w:rPr>
        <w:t xml:space="preserve">FE-01: MAICS Bayesian CNN Ensemble Classification: </w:t>
      </w:r>
      <w:r>
        <w:rPr>
          <w:rFonts w:ascii="Calibri" w:hAnsi="Calibri"/>
          <w:b w:val="0"/>
          <w:i w:val="0"/>
          <w:color w:val="374151"/>
          <w:sz w:val="20"/>
        </w:rPr>
        <w:t>Classify brain tumors into 4 categories (Glioma, Meningioma, Pituitary, Normal) using a Bayesian soft-voting ensemble combining ResNet50 (trained with Cost-Sensitive Risk-Calibrated Loss alpha=5.0 penalizing malignant glioma false negatives), EfficientNetV2, and DenseNet121, augmented with Bayesian Test-Time Augmentation (BayTTA) and Temperature Scaling (T=1.3).</w:t>
      </w:r>
    </w:p>
    <w:p>
      <w:pPr>
        <w:spacing w:before="40" w:after="60" w:line="276" w:lineRule="auto"/>
        <w:jc w:val="left"/>
      </w:pPr>
      <w:r>
        <w:rPr>
          <w:rFonts w:ascii="Calibri" w:hAnsi="Calibri"/>
          <w:b/>
          <w:i w:val="0"/>
          <w:color w:val="0F4C81"/>
          <w:sz w:val="20"/>
        </w:rPr>
        <w:t xml:space="preserve">FE-02: Spatial Tumor Localization &amp; Grad-CAM Explainability: </w:t>
      </w:r>
      <w:r>
        <w:rPr>
          <w:rFonts w:ascii="Calibri" w:hAnsi="Calibri"/>
          <w:b w:val="0"/>
          <w:i w:val="0"/>
          <w:color w:val="374151"/>
          <w:sz w:val="20"/>
        </w:rPr>
        <w:t>Localize tumor boundaries using an anchor-free YOLOv8 spatial detection model (generating bounding boxes with adaptive margin ROI crop) and render high-resolution Grad-CAM visual heatmaps overlaid on the original MRI scan to provide radiologist explainability.</w:t>
      </w:r>
    </w:p>
    <w:p>
      <w:pPr>
        <w:spacing w:before="40" w:after="60" w:line="276" w:lineRule="auto"/>
        <w:jc w:val="left"/>
      </w:pPr>
      <w:r>
        <w:rPr>
          <w:rFonts w:ascii="Calibri" w:hAnsi="Calibri"/>
          <w:b/>
          <w:i w:val="0"/>
          <w:color w:val="0F4C81"/>
          <w:sz w:val="20"/>
        </w:rPr>
        <w:t xml:space="preserve">FE-03: Multimodal Arbiter &amp; Anatomical Privacy Guard: </w:t>
      </w:r>
      <w:r>
        <w:rPr>
          <w:rFonts w:ascii="Calibri" w:hAnsi="Calibri"/>
          <w:b w:val="0"/>
          <w:i w:val="0"/>
          <w:color w:val="374151"/>
          <w:sz w:val="20"/>
        </w:rPr>
        <w:t>Arbitrate discrepancies between the CNN ensemble and YOLOv8 using Google Gemini 3.1 Flash-Lite VLM / Gemini 2.5 Flash Vision. Protected by an Anatomical Privacy Guard that analyzes slice orientation, filtering Axial scans and stripping facial identifiers before dispatching to external cloud APIs (cutting 79.5% API calls).</w:t>
      </w:r>
    </w:p>
    <w:p>
      <w:pPr>
        <w:spacing w:before="40" w:after="60" w:line="276" w:lineRule="auto"/>
        <w:jc w:val="left"/>
      </w:pPr>
      <w:r>
        <w:rPr>
          <w:rFonts w:ascii="Calibri" w:hAnsi="Calibri"/>
          <w:b/>
          <w:i w:val="0"/>
          <w:color w:val="0F4C81"/>
          <w:sz w:val="20"/>
        </w:rPr>
        <w:t xml:space="preserve">FE-04: Active Learning &amp; Radiologist Correction Loop: </w:t>
      </w:r>
      <w:r>
        <w:rPr>
          <w:rFonts w:ascii="Calibri" w:hAnsi="Calibri"/>
          <w:b w:val="0"/>
          <w:i w:val="0"/>
          <w:color w:val="374151"/>
          <w:sz w:val="20"/>
        </w:rPr>
        <w:t>Empower radiologists to modify AI-predicted tumor labels and adjust bounding box coordinates; log corrections to feedback_log.csv and queue hard examples into the Active Learning retraining pipeline.</w:t>
      </w:r>
    </w:p>
    <w:p>
      <w:pPr>
        <w:spacing w:before="40" w:after="60" w:line="276" w:lineRule="auto"/>
        <w:jc w:val="left"/>
      </w:pPr>
      <w:r>
        <w:rPr>
          <w:rFonts w:ascii="Calibri" w:hAnsi="Calibri"/>
          <w:b/>
          <w:i w:val="0"/>
          <w:color w:val="0F4C81"/>
          <w:sz w:val="20"/>
        </w:rPr>
        <w:t xml:space="preserve">FE-05: Hybrid Mini-PACS Storage Architecture: </w:t>
      </w:r>
      <w:r>
        <w:rPr>
          <w:rFonts w:ascii="Calibri" w:hAnsi="Calibri"/>
          <w:b w:val="0"/>
          <w:i w:val="0"/>
          <w:color w:val="374151"/>
          <w:sz w:val="20"/>
        </w:rPr>
        <w:t>Dual-tier medical imaging pipeline: Technicians stream 1–3 representative Key Slices (&lt;5MB) directly to disk via Multer stream for instant 1s Web EMR loading and 2s AI inference, while compressing the full raw DICOM study (.zip &lt; 200MB) directly to Google Drive for neurosurgical download via RadiAnt/Horos.</w:t>
      </w:r>
    </w:p>
    <w:p>
      <w:pPr>
        <w:spacing w:before="40" w:after="60" w:line="276" w:lineRule="auto"/>
        <w:jc w:val="left"/>
      </w:pPr>
      <w:r>
        <w:rPr>
          <w:rFonts w:ascii="Calibri" w:hAnsi="Calibri"/>
          <w:b/>
          <w:i w:val="0"/>
          <w:color w:val="0F4C81"/>
          <w:sz w:val="20"/>
        </w:rPr>
        <w:t xml:space="preserve">FE-06: 14-Type Hospital EMR with Circular 46 Digital Signing: </w:t>
      </w:r>
      <w:r>
        <w:rPr>
          <w:rFonts w:ascii="Calibri" w:hAnsi="Calibri"/>
          <w:b w:val="0"/>
          <w:i w:val="0"/>
          <w:color w:val="374151"/>
          <w:sz w:val="20"/>
        </w:rPr>
        <w:t>Store and manage 14 hospital EMR document types across 5 groups (Administrative/Financial, Clinical, Para-clinical, Nursing, Legal/Consents) governed by a Draft -&gt; Approved -&gt; Signed lifecycle stamped with ✓ ĐÃ KÝ SỐ ĐIỆN TỬ, locking records against tampering in strict compliance with Circular 46/2018/TT-BYT.</w:t>
      </w:r>
    </w:p>
    <w:p>
      <w:pPr>
        <w:spacing w:before="40" w:after="60" w:line="276" w:lineRule="auto"/>
        <w:jc w:val="left"/>
      </w:pPr>
      <w:r>
        <w:rPr>
          <w:rFonts w:ascii="Calibri" w:hAnsi="Calibri"/>
          <w:b/>
          <w:i w:val="0"/>
          <w:color w:val="0F4C81"/>
          <w:sz w:val="20"/>
        </w:rPr>
        <w:t xml:space="preserve">FE-07: Dual Data Entry (OCR Document Digitization &amp; Direct Forms): </w:t>
      </w:r>
      <w:r>
        <w:rPr>
          <w:rFonts w:ascii="Calibri" w:hAnsi="Calibri"/>
          <w:b w:val="0"/>
          <w:i w:val="0"/>
          <w:color w:val="374151"/>
          <w:sz w:val="20"/>
        </w:rPr>
        <w:t>Digitize physical medical records via OCR scanning with automatic extraction of lab values and diagnosis, automatically stripping CCCD/BHYT numbers to comply with Decree 13/2023/ND-CP, alongside standardized manual web entry forms.</w:t>
      </w:r>
    </w:p>
    <w:p>
      <w:pPr>
        <w:spacing w:before="40" w:after="60" w:line="276" w:lineRule="auto"/>
        <w:jc w:val="left"/>
      </w:pPr>
      <w:r>
        <w:rPr>
          <w:rFonts w:ascii="Calibri" w:hAnsi="Calibri"/>
          <w:b/>
          <w:i w:val="0"/>
          <w:color w:val="0F4C81"/>
          <w:sz w:val="20"/>
        </w:rPr>
        <w:t xml:space="preserve">FE-08: Patient B2C Sổ Sức Khỏe (Personal Health Book): </w:t>
      </w:r>
      <w:r>
        <w:rPr>
          <w:rFonts w:ascii="Calibri" w:hAnsi="Calibri"/>
          <w:b w:val="0"/>
          <w:i w:val="0"/>
          <w:color w:val="374151"/>
          <w:sz w:val="20"/>
        </w:rPr>
        <w:t>Secure digital health record storing 12 personal document types with visit creation (hospital, date, doctor), cloud synchronization, and lifetime access.</w:t>
      </w:r>
    </w:p>
    <w:p>
      <w:pPr>
        <w:spacing w:before="40" w:after="60" w:line="276" w:lineRule="auto"/>
        <w:jc w:val="left"/>
      </w:pPr>
      <w:r>
        <w:rPr>
          <w:rFonts w:ascii="Calibri" w:hAnsi="Calibri"/>
          <w:b/>
          <w:i w:val="0"/>
          <w:color w:val="0F4C81"/>
          <w:sz w:val="20"/>
        </w:rPr>
        <w:t xml:space="preserve">FE-09: Inter-Hospital Dynamic QR-Code Record Sharing: </w:t>
      </w:r>
      <w:r>
        <w:rPr>
          <w:rFonts w:ascii="Calibri" w:hAnsi="Calibri"/>
          <w:b w:val="0"/>
          <w:i w:val="0"/>
          <w:color w:val="374151"/>
          <w:sz w:val="20"/>
        </w:rPr>
        <w:t>Generate encrypted dynamic QR codes with a 30-day expiration token, allowing authorized external clinicians to scan and instantly inspect digitised EMR records.</w:t>
      </w:r>
    </w:p>
    <w:p>
      <w:pPr>
        <w:spacing w:before="40" w:after="60" w:line="276" w:lineRule="auto"/>
        <w:jc w:val="left"/>
      </w:pPr>
      <w:r>
        <w:rPr>
          <w:rFonts w:ascii="Calibri" w:hAnsi="Calibri"/>
          <w:b/>
          <w:i w:val="0"/>
          <w:color w:val="0F4C81"/>
          <w:sz w:val="20"/>
        </w:rPr>
        <w:t xml:space="preserve">FE-10: Patient Self-Scan AI Second Opinion &amp; Layman Hippocratic Explanation: </w:t>
      </w:r>
      <w:r>
        <w:rPr>
          <w:rFonts w:ascii="Calibri" w:hAnsi="Calibri"/>
          <w:b w:val="0"/>
          <w:i w:val="0"/>
          <w:color w:val="374151"/>
          <w:sz w:val="20"/>
        </w:rPr>
        <w:t>Allow patients to upload personal MRI films for AI analysis, auto-generating a findings draft and translating dense radiological conclusions into compassionate, plain-language Hippocratic explanations that direct the patient to appropriate specialists.</w:t>
      </w:r>
    </w:p>
    <w:p>
      <w:pPr>
        <w:spacing w:before="40" w:after="60" w:line="276" w:lineRule="auto"/>
        <w:jc w:val="left"/>
      </w:pPr>
      <w:r>
        <w:rPr>
          <w:rFonts w:ascii="Calibri" w:hAnsi="Calibri"/>
          <w:b/>
          <w:i w:val="0"/>
          <w:color w:val="0F4C81"/>
          <w:sz w:val="20"/>
        </w:rPr>
        <w:t xml:space="preserve">FE-11: Medical-Ethics RAG Chatbot (LangChain + Gemini + FAISS): </w:t>
      </w:r>
      <w:r>
        <w:rPr>
          <w:rFonts w:ascii="Calibri" w:hAnsi="Calibri"/>
          <w:b w:val="0"/>
          <w:i w:val="0"/>
          <w:color w:val="374151"/>
          <w:sz w:val="20"/>
        </w:rPr>
        <w:t>Chatbot assistant grounded in Ministry of Health Decision 1514/QD-BYT on brain tumor treatment protocols, equipped with strict safety keyword traps blocking dangerous home remedies and refusing lifespan/survival predictions.</w:t>
      </w:r>
    </w:p>
    <w:p>
      <w:pPr>
        <w:spacing w:before="40" w:after="60" w:line="276" w:lineRule="auto"/>
        <w:jc w:val="left"/>
      </w:pPr>
      <w:r>
        <w:rPr>
          <w:rFonts w:ascii="Calibri" w:hAnsi="Calibri"/>
          <w:b/>
          <w:i w:val="0"/>
          <w:color w:val="0F4C81"/>
          <w:sz w:val="20"/>
        </w:rPr>
        <w:t xml:space="preserve">FE-12: Mandatory 4-Criterion MRI Safety Checklist: </w:t>
      </w:r>
      <w:r>
        <w:rPr>
          <w:rFonts w:ascii="Calibri" w:hAnsi="Calibri"/>
          <w:b w:val="0"/>
          <w:i w:val="0"/>
          <w:color w:val="374151"/>
          <w:sz w:val="20"/>
        </w:rPr>
        <w:t>Require technicians to complete a 4-question safety screening (pacemakers, aneurysm clips, cochlear implants, foreign metallic bodies); hard-blocks ca admission with HTTP 400 Bad Request if absolute contraindications are detected.</w:t>
      </w:r>
    </w:p>
    <w:p>
      <w:pPr>
        <w:spacing w:before="40" w:after="60" w:line="276" w:lineRule="auto"/>
        <w:jc w:val="left"/>
      </w:pPr>
      <w:r>
        <w:rPr>
          <w:rFonts w:ascii="Calibri" w:hAnsi="Calibri"/>
          <w:b/>
          <w:i w:val="0"/>
          <w:color w:val="0F4C81"/>
          <w:sz w:val="20"/>
        </w:rPr>
        <w:t xml:space="preserve">FE-13: Clinical Exception Handling (Rescan &amp; Cancellation): </w:t>
      </w:r>
      <w:r>
        <w:rPr>
          <w:rFonts w:ascii="Calibri" w:hAnsi="Calibri"/>
          <w:b w:val="0"/>
          <w:i w:val="0"/>
          <w:color w:val="374151"/>
          <w:sz w:val="20"/>
        </w:rPr>
        <w:t>Support Rescan (chờ chụp lại) due to motion artifacts (nhiễu ảnh chuyển động) and Cancel (đã hủy) due to claustrophobia or patient refusal, recording clinical reasons, timestamps, and operator identity in the audit log.</w:t>
      </w:r>
    </w:p>
    <w:p>
      <w:pPr>
        <w:spacing w:before="40" w:after="60" w:line="276" w:lineRule="auto"/>
        <w:jc w:val="left"/>
      </w:pPr>
      <w:r>
        <w:rPr>
          <w:rFonts w:ascii="Calibri" w:hAnsi="Calibri"/>
          <w:b/>
          <w:i w:val="0"/>
          <w:color w:val="0F4C81"/>
          <w:sz w:val="20"/>
        </w:rPr>
        <w:t xml:space="preserve">FE-14: Inpatient Bed Management &amp; Atomic Concurrency Control: </w:t>
      </w:r>
      <w:r>
        <w:rPr>
          <w:rFonts w:ascii="Calibri" w:hAnsi="Calibri"/>
          <w:b w:val="0"/>
          <w:i w:val="0"/>
          <w:color w:val="374151"/>
          <w:sz w:val="20"/>
        </w:rPr>
        <w:t>Manage inpatient wards and beds with atomic database locking (findOneAndUpdate) that prevents race condition double-booking (returning clean 409 Conflict errors), integrated with nursing care sheets and Glasgow Coma Scale (GCS) tracking.</w:t>
      </w:r>
    </w:p>
    <w:p>
      <w:pPr>
        <w:spacing w:before="40" w:after="60" w:line="276" w:lineRule="auto"/>
        <w:jc w:val="left"/>
      </w:pPr>
      <w:r>
        <w:rPr>
          <w:rFonts w:ascii="Calibri" w:hAnsi="Calibri"/>
          <w:b/>
          <w:i w:val="0"/>
          <w:color w:val="0F4C81"/>
          <w:sz w:val="20"/>
        </w:rPr>
        <w:t xml:space="preserve">FE-15: Automated BHYT Insurance Co-Pay &amp; VietQR PayOS Settlement: </w:t>
      </w:r>
      <w:r>
        <w:rPr>
          <w:rFonts w:ascii="Calibri" w:hAnsi="Calibri"/>
          <w:b w:val="0"/>
          <w:i w:val="0"/>
          <w:color w:val="374151"/>
          <w:sz w:val="20"/>
        </w:rPr>
        <w:t>Automatically calculate health insurance benefits (80% to 100% co-pay) and generate dynamic VietQR payment codes via PayOS API (Napas 24/7) with automated HMAC-SHA256 webhook reconciliation.</w:t>
      </w:r>
    </w:p>
    <w:p>
      <w:pPr>
        <w:spacing w:before="40" w:after="60" w:line="276" w:lineRule="auto"/>
        <w:jc w:val="left"/>
      </w:pPr>
      <w:r>
        <w:rPr>
          <w:rFonts w:ascii="Calibri" w:hAnsi="Calibri"/>
          <w:b/>
          <w:i w:val="0"/>
          <w:color w:val="0F4C81"/>
          <w:sz w:val="20"/>
        </w:rPr>
        <w:t xml:space="preserve">FE-16: Emergency Code Red/Orange Room Override: </w:t>
      </w:r>
      <w:r>
        <w:rPr>
          <w:rFonts w:ascii="Calibri" w:hAnsi="Calibri"/>
          <w:b w:val="0"/>
          <w:i w:val="0"/>
          <w:color w:val="374151"/>
          <w:sz w:val="20"/>
        </w:rPr>
        <w:t>Support rapid emergency room preemption ('Scan first, pay later' policy), automatically shifting non-urgent appointments to the next available slot with staff confirmation.</w:t>
      </w:r>
    </w:p>
    <w:p>
      <w:pPr>
        <w:spacing w:before="40" w:after="60" w:line="276" w:lineRule="auto"/>
        <w:jc w:val="left"/>
      </w:pPr>
      <w:r>
        <w:rPr>
          <w:rFonts w:ascii="Calibri" w:hAnsi="Calibri"/>
          <w:b/>
          <w:i w:val="0"/>
          <w:color w:val="0F4C81"/>
          <w:sz w:val="20"/>
        </w:rPr>
        <w:t xml:space="preserve">FE-17: Enterprise Multi-Tenancy &amp; SHA-256 Hash Chain Integrity: </w:t>
      </w:r>
      <w:r>
        <w:rPr>
          <w:rFonts w:ascii="Calibri" w:hAnsi="Calibri"/>
          <w:b w:val="0"/>
          <w:i w:val="0"/>
          <w:color w:val="374151"/>
          <w:sz w:val="20"/>
        </w:rPr>
        <w:t>Logical multi-facility isolation via Mongoose plugin (tenancy.plugin.js) scoping all queries to hospitalId, paired with a cryptographic SHA-256 tamper-evident hash chain connecting EMR document revisions.</w:t>
      </w:r>
    </w:p>
    <w:p>
      <w:pPr>
        <w:spacing w:before="40" w:after="60" w:line="276" w:lineRule="auto"/>
        <w:jc w:val="left"/>
      </w:pPr>
      <w:r>
        <w:rPr>
          <w:rFonts w:ascii="Calibri" w:hAnsi="Calibri"/>
          <w:b/>
          <w:i w:val="0"/>
          <w:color w:val="0F4C81"/>
          <w:sz w:val="20"/>
        </w:rPr>
        <w:t xml:space="preserve">FE-18: Centralized Hospital Administration &amp; Clinical Audit Trail: </w:t>
      </w:r>
      <w:r>
        <w:rPr>
          <w:rFonts w:ascii="Calibri" w:hAnsi="Calibri"/>
          <w:b w:val="0"/>
          <w:i w:val="0"/>
          <w:color w:val="374151"/>
          <w:sz w:val="20"/>
        </w:rPr>
        <w:t>Comprehensive admin console for managing facility pricing catalogs, MRI rooms, bed hierarchies, doctor practice certificates (CCHN), and tamper-evident audit logs (AuditLog).</w:t>
      </w:r>
    </w:p>
    <w:p>
      <w:pPr>
        <w:spacing w:before="0" w:after="160" w:line="276" w:lineRule="auto"/>
        <w:jc w:val="left"/>
      </w:pPr>
    </w:p>
    <w:p>
      <w:pPr>
        <w:spacing w:before="0" w:after="120" w:line="276" w:lineRule="auto"/>
        <w:jc w:val="center"/>
      </w:pPr>
      <w:r>
        <w:rPr>
          <w:rFonts w:ascii="Calibri" w:hAnsi="Calibri"/>
          <w:b/>
          <w:i w:val="0"/>
          <w:color w:val="0F4C81"/>
          <w:sz w:val="21"/>
        </w:rPr>
        <w:t>Figure 1: NeuroScan AI System Context &amp; Multi-Tier Architecture Diagram</w:t>
      </w:r>
    </w:p>
    <w:p>
      <w:pPr>
        <w:spacing w:after="280"/>
        <w:jc w:val="center"/>
      </w:pPr>
      <w:r>
        <w:drawing>
          <wp:inline>
            <wp:extent cx="5669280" cy="372552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725527"/>
                    </a:xfrm>
                    <a:prstGeom prst="rect"/>
                  </pic:spPr>
                </pic:pic>
              </a:graphicData>
            </a:graphic>
          </wp:inline>
        </w:drawing>
      </w:r>
    </w:p>
    <w:p>
      <w:pPr>
        <w:pStyle w:val="Heading3"/>
        <w:spacing w:before="240" w:after="120" w:line="276" w:lineRule="auto"/>
        <w:jc w:val="left"/>
      </w:pPr>
      <w:r>
        <w:rPr>
          <w:rFonts w:ascii="Calibri" w:hAnsi="Calibri"/>
          <w:b/>
          <w:i w:val="0"/>
          <w:color w:val="2563EB"/>
          <w:sz w:val="23"/>
        </w:rPr>
        <w:t>6.2 Limitations &amp; Exclusions (LI-01 to LI-09)</w:t>
      </w:r>
    </w:p>
    <w:p>
      <w:pPr>
        <w:spacing w:before="40" w:after="60" w:line="276" w:lineRule="auto"/>
        <w:jc w:val="left"/>
      </w:pPr>
      <w:r>
        <w:rPr>
          <w:rFonts w:ascii="Calibri" w:hAnsi="Calibri"/>
          <w:b/>
          <w:i w:val="0"/>
          <w:color w:val="991B1B"/>
          <w:sz w:val="20"/>
        </w:rPr>
        <w:t xml:space="preserve">LI-01: Assistive Second Opinion Only (No Autonomous Diagnosis): </w:t>
      </w:r>
      <w:r>
        <w:rPr>
          <w:rFonts w:ascii="Calibri" w:hAnsi="Calibri"/>
          <w:b w:val="0"/>
          <w:i w:val="0"/>
          <w:color w:val="374151"/>
          <w:sz w:val="20"/>
        </w:rPr>
        <w:t>The AI engine operates strictly as a Clinical Decision Support System (CDSS) providing an independent second opinion. In strict adherence to Vietnamese law (Law on Medical Examination and Treatment 15/2023/QH15 and Circular 46/2018/TT-BYT), final diagnostic conclusions and treatment plans belong solely to the licensed Radiologist.</w:t>
      </w:r>
    </w:p>
    <w:p>
      <w:pPr>
        <w:spacing w:before="40" w:after="60" w:line="276" w:lineRule="auto"/>
        <w:jc w:val="left"/>
      </w:pPr>
      <w:r>
        <w:rPr>
          <w:rFonts w:ascii="Calibri" w:hAnsi="Calibri"/>
          <w:b/>
          <w:i w:val="0"/>
          <w:color w:val="991B1B"/>
          <w:sz w:val="20"/>
        </w:rPr>
        <w:t xml:space="preserve">LI-02: MRI Image Quality &amp; Standardization Prerequisites: </w:t>
      </w:r>
      <w:r>
        <w:rPr>
          <w:rFonts w:ascii="Calibri" w:hAnsi="Calibri"/>
          <w:b w:val="0"/>
          <w:i w:val="0"/>
          <w:color w:val="374151"/>
          <w:sz w:val="20"/>
        </w:rPr>
        <w:t>Diagnostic inference accuracy relies on standard cranial MRI protocols (T1-weighted, T2-weighted, FLAIR, T1C+). Severe motion artifacts, metal dental distortions, or severely under-sampled non-standard sequences will trigger a lower confidence score or a mandatory Rescan request.</w:t>
      </w:r>
    </w:p>
    <w:p>
      <w:pPr>
        <w:spacing w:before="40" w:after="60" w:line="276" w:lineRule="auto"/>
        <w:jc w:val="left"/>
      </w:pPr>
      <w:r>
        <w:rPr>
          <w:rFonts w:ascii="Calibri" w:hAnsi="Calibri"/>
          <w:b/>
          <w:i w:val="0"/>
          <w:color w:val="991B1B"/>
          <w:sz w:val="20"/>
        </w:rPr>
        <w:t xml:space="preserve">LI-03: External Multimodal VLM Quota &amp; Network Fallback: </w:t>
      </w:r>
      <w:r>
        <w:rPr>
          <w:rFonts w:ascii="Calibri" w:hAnsi="Calibri"/>
          <w:b w:val="0"/>
          <w:i w:val="0"/>
          <w:color w:val="374151"/>
          <w:sz w:val="20"/>
        </w:rPr>
        <w:t>Arbitration via Google Gemini 3.1 Flash-Lite / 2.5 Flash Vision relies on external cloud API connectivity. If API quotas are exhausted or network disruptions occur, the system gracefully falls back to the Bayesian CNN ensemble and YOLOv8 consensus with clear offline audit flags.</w:t>
      </w:r>
    </w:p>
    <w:p>
      <w:pPr>
        <w:spacing w:before="40" w:after="60" w:line="276" w:lineRule="auto"/>
        <w:jc w:val="left"/>
      </w:pPr>
      <w:r>
        <w:rPr>
          <w:rFonts w:ascii="Calibri" w:hAnsi="Calibri"/>
          <w:b/>
          <w:i w:val="0"/>
          <w:color w:val="991B1B"/>
          <w:sz w:val="20"/>
        </w:rPr>
        <w:t xml:space="preserve">LI-04: Deep Learning Weight Provisioning &amp; Hardware Constraints: </w:t>
      </w:r>
      <w:r>
        <w:rPr>
          <w:rFonts w:ascii="Calibri" w:hAnsi="Calibri"/>
          <w:b w:val="0"/>
          <w:i w:val="0"/>
          <w:color w:val="374151"/>
          <w:sz w:val="20"/>
        </w:rPr>
        <w:t>High-performance neural network weights (.keras, .pt) are excluded from version control due to multi-gigabyte sizes and must be provisioned during environment setup. The AI diagnostic server requires Python 3.10+ with CUDA/MPS acceleration or multi-core AVX2 support, while the core backend requires Node.js 20+.</w:t>
      </w:r>
    </w:p>
    <w:p>
      <w:pPr>
        <w:spacing w:before="40" w:after="60" w:line="276" w:lineRule="auto"/>
        <w:jc w:val="left"/>
      </w:pPr>
      <w:r>
        <w:rPr>
          <w:rFonts w:ascii="Calibri" w:hAnsi="Calibri"/>
          <w:b/>
          <w:i w:val="0"/>
          <w:color w:val="991B1B"/>
          <w:sz w:val="20"/>
        </w:rPr>
        <w:t xml:space="preserve">LI-05: Payment Gateway Scope (Napas 24/7 VietQR / PayOS): </w:t>
      </w:r>
      <w:r>
        <w:rPr>
          <w:rFonts w:ascii="Calibri" w:hAnsi="Calibri"/>
          <w:b w:val="0"/>
          <w:i w:val="0"/>
          <w:color w:val="374151"/>
          <w:sz w:val="20"/>
        </w:rPr>
        <w:t>The initial release natively integrates the domestic PayOS gateway supporting Napas 24/7 interbank VietQR transfers; international credit card processing (Visa/Mastercard) and foreign multi-currency transactions are excluded from the current release.</w:t>
      </w:r>
    </w:p>
    <w:p>
      <w:pPr>
        <w:spacing w:before="40" w:after="60" w:line="276" w:lineRule="auto"/>
        <w:jc w:val="left"/>
      </w:pPr>
      <w:r>
        <w:rPr>
          <w:rFonts w:ascii="Calibri" w:hAnsi="Calibri"/>
          <w:b/>
          <w:i w:val="0"/>
          <w:color w:val="991B1B"/>
          <w:sz w:val="20"/>
        </w:rPr>
        <w:t xml:space="preserve">LI-06: Vietnamese-First User Interface: </w:t>
      </w:r>
      <w:r>
        <w:rPr>
          <w:rFonts w:ascii="Calibri" w:hAnsi="Calibri"/>
          <w:b w:val="0"/>
          <w:i w:val="0"/>
          <w:color w:val="374151"/>
          <w:sz w:val="20"/>
        </w:rPr>
        <w:t>The platform is specifically localized for Vietnamese clinical terminology, Ministry of Health EMR forms, and Vietnamese patients; international multi-language localization is scheduled for future expansion.</w:t>
      </w:r>
    </w:p>
    <w:p>
      <w:pPr>
        <w:spacing w:before="40" w:after="60" w:line="276" w:lineRule="auto"/>
        <w:jc w:val="left"/>
      </w:pPr>
      <w:r>
        <w:rPr>
          <w:rFonts w:ascii="Calibri" w:hAnsi="Calibri"/>
          <w:b/>
          <w:i w:val="0"/>
          <w:color w:val="991B1B"/>
          <w:sz w:val="20"/>
        </w:rPr>
        <w:t xml:space="preserve">LI-07: Universal Web-First EMR &amp; Responsive Tablet Verification: </w:t>
      </w:r>
      <w:r>
        <w:rPr>
          <w:rFonts w:ascii="Calibri" w:hAnsi="Calibri"/>
          <w:b w:val="0"/>
          <w:i w:val="0"/>
          <w:color w:val="374151"/>
          <w:sz w:val="20"/>
        </w:rPr>
        <w:t>The hospital clinical workstations are optimized and rigorously tested on modern desktop web browsers (Chrome, Edge, Firefox) and tablet buồng bệnh (iPad/Android tablet), while native iOS/Android packaging focuses primarily on the Patient Portal.</w:t>
      </w:r>
    </w:p>
    <w:p>
      <w:pPr>
        <w:spacing w:before="40" w:after="60" w:line="276" w:lineRule="auto"/>
        <w:jc w:val="left"/>
      </w:pPr>
      <w:r>
        <w:rPr>
          <w:rFonts w:ascii="Calibri" w:hAnsi="Calibri"/>
          <w:b/>
          <w:i w:val="0"/>
          <w:color w:val="991B1B"/>
          <w:sz w:val="20"/>
        </w:rPr>
        <w:t xml:space="preserve">LI-08: Legacy HIS/HL7 Integration Boundary: </w:t>
      </w:r>
      <w:r>
        <w:rPr>
          <w:rFonts w:ascii="Calibri" w:hAnsi="Calibri"/>
          <w:b w:val="0"/>
          <w:i w:val="0"/>
          <w:color w:val="374151"/>
          <w:sz w:val="20"/>
        </w:rPr>
        <w:t>Direct legacy HL7 v2 / C-STORE socket interfaces with proprietary hospital HIS systems are out of scope. To comply with Decree 13/2023/ND-CP, the system indexes patient identity via a secure medicalId, patient name, birth year, and phone number without storing citizen identity cards (CCCD).</w:t>
      </w:r>
    </w:p>
    <w:p>
      <w:pPr>
        <w:spacing w:before="40" w:after="60" w:line="276" w:lineRule="auto"/>
        <w:jc w:val="left"/>
      </w:pPr>
      <w:r>
        <w:rPr>
          <w:rFonts w:ascii="Calibri" w:hAnsi="Calibri"/>
          <w:b/>
          <w:i w:val="0"/>
          <w:color w:val="991B1B"/>
          <w:sz w:val="20"/>
        </w:rPr>
        <w:t xml:space="preserve">LI-09: 2D Key Slice Mini-PACS Display vs Advanced 3D Volume Rendering: </w:t>
      </w:r>
      <w:r>
        <w:rPr>
          <w:rFonts w:ascii="Calibri" w:hAnsi="Calibri"/>
          <w:b w:val="0"/>
          <w:i w:val="0"/>
          <w:color w:val="374151"/>
          <w:sz w:val="20"/>
        </w:rPr>
        <w:t>The web-based Mini-PACS displays 2D Key Slices with Grad-CAM overlays and provides instant 1-click downloads of complete raw DICOM studies (.zip). Advanced 3D Multi-Planar Reconstruction (MPR) and volumetric rendering are deferred to specialized desktop software (RadiAnt, Horos, 3D Slicer) or future OHIF Viewer integration.</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outlineLvl w:val="0"/>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outlineLvl w:val="1"/>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outlineLvl w:val="2"/>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2500C5"/>
    <w:pPr>
      <w:keepNext w:val="1"/>
      <w:keepLines w:val="1"/>
      <w:spacing w:after="0" w:before="240"/>
      <w:outlineLvl w:val="0"/>
    </w:pPr>
    <w:rPr>
      <w:rFonts w:asciiTheme="majorHAnsi" w:cstheme="majorBidi" w:eastAsiaTheme="majorEastAsia" w:hAnsiTheme="majorHAnsi"/>
      <w:b w:val="1"/>
      <w:color w:val="c00000"/>
      <w:sz w:val="32"/>
      <w:szCs w:val="32"/>
    </w:rPr>
  </w:style>
  <w:style w:type="paragraph" w:styleId="Heading2">
    <w:name w:val="heading 2"/>
    <w:basedOn w:val="Normal"/>
    <w:next w:val="Normal"/>
    <w:link w:val="Heading2Char"/>
    <w:autoRedefine w:val="1"/>
    <w:uiPriority w:val="9"/>
    <w:unhideWhenUsed w:val="1"/>
    <w:qFormat w:val="1"/>
    <w:rsid w:val="002500C5"/>
    <w:pPr>
      <w:keepNext w:val="1"/>
      <w:keepLines w:val="1"/>
      <w:spacing w:after="0" w:before="40"/>
      <w:outlineLvl w:val="1"/>
    </w:pPr>
    <w:rPr>
      <w:rFonts w:asciiTheme="majorHAnsi" w:cstheme="majorBidi" w:eastAsiaTheme="majorEastAsia" w:hAnsiTheme="majorHAnsi"/>
      <w:b w:val="1"/>
      <w:sz w:val="26"/>
      <w:szCs w:val="26"/>
    </w:rPr>
  </w:style>
  <w:style w:type="paragraph" w:styleId="Heading3">
    <w:name w:val="heading 3"/>
    <w:basedOn w:val="Normal"/>
    <w:next w:val="Normal"/>
    <w:link w:val="Heading3Char"/>
    <w:autoRedefine w:val="1"/>
    <w:uiPriority w:val="9"/>
    <w:unhideWhenUsed w:val="1"/>
    <w:qFormat w:val="1"/>
    <w:rsid w:val="002500C5"/>
    <w:pPr>
      <w:keepNext w:val="1"/>
      <w:keepLines w:val="1"/>
      <w:spacing w:after="0" w:before="40"/>
      <w:outlineLvl w:val="2"/>
    </w:pPr>
    <w:rPr>
      <w:rFonts w:asciiTheme="majorHAnsi" w:cstheme="majorBidi" w:eastAsiaTheme="majorEastAsia" w:hAnsiTheme="majorHAnsi"/>
      <w:b w:val="1"/>
      <w:sz w:val="24"/>
      <w:szCs w:val="24"/>
    </w:rPr>
  </w:style>
  <w:style w:type="paragraph" w:styleId="Heading4">
    <w:name w:val="heading 4"/>
    <w:basedOn w:val="Normal"/>
    <w:next w:val="Normal"/>
    <w:link w:val="Heading4Char"/>
    <w:autoRedefine w:val="1"/>
    <w:uiPriority w:val="9"/>
    <w:unhideWhenUsed w:val="1"/>
    <w:qFormat w:val="1"/>
    <w:rsid w:val="002500C5"/>
    <w:pPr>
      <w:keepNext w:val="1"/>
      <w:keepLines w:val="1"/>
      <w:spacing w:after="0" w:before="40"/>
      <w:outlineLvl w:val="3"/>
    </w:pPr>
    <w:rPr>
      <w:rFonts w:asciiTheme="majorHAnsi" w:cstheme="majorBidi" w:eastAsiaTheme="majorEastAsia" w:hAnsiTheme="majorHAnsi"/>
      <w:b w:val="1"/>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apps.apple.com/id/app/myfptschools/id157385702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play.google.com/store/apps/details?id=com.myfptschool&amp;h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dd3YthnveNlkICCW3ZUqmMNhA==">CgMxLjAyDmguMTl0cm50anFreng5Mg5oLnBoY3Z4NnA0a2xlYjIOaC43ZGJncWwyZXBlYzgyDmguaWxidWwwOGUzYTM5Mg1oLng2Z2R3emVsMXVhMg5oLjFydm0yNzI5dzI2ZDIOaC5oaDMzaWdhbTF4c3AyDmguNnNlcmF6NjNpbmNoMg5oLmtsNHlmdTF4ZGxxazIOaC53aWQ0NWs2ZnNram4yDmguNzQ0Y3NtcWpxMms1Mg5oLnI4dWhlbXJmaHRiazIOaC5tOHM0ZjU2eTI2dzUyDmguOWE5dTBqZWI5cDRnOAByITFhVDF4eHlxbXlDQXZ2ZTMxT3BEdVBOd19JMEg0UmR0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dc:title>Report 1 – Project Introduction – NeuroScan AI (SWD392-G5)</dc:title>
</cp:coreProperties>
</file>