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INTERNAL QA CHECKLIST</w:t>
      </w:r>
    </w:p>
    <w:p>
      <w:pPr>
        <w:pStyle w:val="HeroTitle"/>
        <w:jc w:val="center"/>
      </w:pPr>
      <w:r>
        <w:t>Apache Superset 6.0</w:t>
      </w:r>
    </w:p>
    <w:p>
      <w:pPr>
        <w:pStyle w:val="HeroSubtitle"/>
        <w:jc w:val="center"/>
      </w:pPr>
      <w:r>
        <w:t>Basic step-by-step test cases for capability and limitation validation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Scope: </w:t>
      </w:r>
      <w:r>
        <w:rPr>
          <w:rFonts w:ascii="Calibri" w:hAnsi="Calibri" w:eastAsia="Calibri"/>
          <w:color w:val="5B6776"/>
          <w:sz w:val="20"/>
        </w:rPr>
        <w:t>Superset 6.0.0 with a SQL-speaking analytical database; ClickHouse may be used as the test database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Audience: </w:t>
      </w:r>
      <w:r>
        <w:rPr>
          <w:rFonts w:ascii="Calibri" w:hAnsi="Calibri" w:eastAsia="Calibri"/>
          <w:color w:val="5B6776"/>
          <w:sz w:val="20"/>
        </w:rPr>
        <w:t>BI fresher, BI analyst, dashboard owner, QA and Superset administrator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Version: </w:t>
      </w:r>
      <w:r>
        <w:rPr>
          <w:rFonts w:ascii="Calibri" w:hAnsi="Calibri" w:eastAsia="Calibri"/>
          <w:color w:val="5B6776"/>
          <w:sz w:val="20"/>
        </w:rPr>
        <w:t>v1.0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Review date: </w:t>
      </w:r>
      <w:r>
        <w:rPr>
          <w:rFonts w:ascii="Calibri" w:hAnsi="Calibri" w:eastAsia="Calibri"/>
          <w:color w:val="5B6776"/>
          <w:sz w:val="20"/>
        </w:rPr>
        <w:t>17 August 2026</w:t>
      </w:r>
    </w:p>
    <w:p>
      <w:pPr>
        <w:pStyle w:val="Metadata"/>
      </w:pPr>
      <w:r>
        <w:rPr>
          <w:rFonts w:ascii="Calibri" w:hAnsi="Calibri" w:eastAsia="Calibri"/>
          <w:b/>
          <w:color w:val="0B2545"/>
          <w:sz w:val="20"/>
        </w:rPr>
        <w:t xml:space="preserve">Purpose: </w:t>
      </w:r>
      <w:r>
        <w:rPr>
          <w:rFonts w:ascii="Calibri" w:hAnsi="Calibri" w:eastAsia="Calibri"/>
          <w:color w:val="5B6776"/>
          <w:sz w:val="20"/>
        </w:rPr>
        <w:t>Verify the documented behavior with a small, repeatable test 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nil" w:sz="0" w:space="0" w:color="E8EEF5"/>
              <w:left w:val="single" w:sz="18" w:space="0" w:color="2E74B5"/>
              <w:bottom w:val="nil" w:sz="0" w:space="0" w:color="E8EEF5"/>
              <w:right w:val="nil" w:sz="0" w:space="0" w:color="E8EEF5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How to use this document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Replace every value in angle brackets before execution. Run P0 cases first. Mark a feature as Blocked when its configuration is missing; do not convert a configuration gap into a product failure.</w:t>
            </w:r>
          </w:p>
        </w:tc>
      </w:tr>
    </w:tbl>
    <w:p>
      <w:pPr>
        <w:pStyle w:val="SourceNote"/>
        <w:jc w:val="center"/>
      </w:pPr>
      <w:r>
        <w:rPr>
          <w:rFonts w:ascii="Calibri" w:hAnsi="Calibri" w:eastAsia="Calibri"/>
          <w:i/>
          <w:color w:val="5B6776"/>
        </w:rPr>
        <w:t>Document version: v1.0 | Superset scope: 6.0.0 | Basis: official Apache Superset documentation</w:t>
      </w:r>
    </w:p>
    <w:p>
      <w:r>
        <w:br w:type="page"/>
      </w:r>
    </w:p>
    <w:p>
      <w:pPr>
        <w:pStyle w:val="Heading1"/>
      </w:pPr>
      <w:r>
        <w:t>1. Purpose and test scope</w:t>
      </w:r>
    </w:p>
    <w:p>
      <w:pPr>
        <w:pStyle w:val="Lead"/>
      </w:pPr>
      <w:r>
        <w:t>This checklist is a basic smoke/acceptance test for the Superset 6.0 capability and limitation statements. It checks the end-to-end path from database connection to dataset, chart, dashboard, filtering, SQL Lab, access control and source reconciliation. It is not a performance benchmark, security penetration test or full regression suite.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nil" w:sz="0" w:space="0" w:color="F4F6F9"/>
              <w:left w:val="single" w:sz="18" w:space="0" w:color="7A5A00"/>
              <w:bottom w:val="nil" w:sz="0" w:space="0" w:color="F4F6F9"/>
              <w:right w:val="nil" w:sz="0" w:space="0" w:color="F4F6F9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Evidence to attach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At minimum: URL, user/role, timestamp, screenshot, query or chart name, expected value, actual value and final status. Redact credentials and sensitive customer/member data.</w:t>
            </w:r>
          </w:p>
        </w:tc>
      </w:tr>
    </w:tbl>
    <w:p>
      <w:pPr>
        <w:pStyle w:val="Heading1"/>
      </w:pPr>
      <w:r>
        <w:t>2. Minimum test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Fill before testing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Superset URL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&lt;superset_url&gt;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Admin/test owner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&lt;admin_user&gt;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Analyst/test user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&lt;analyst_user&gt;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Restricted user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&lt;restricted_user&gt; or N/A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Database connection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&lt;connection_name&gt;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dataset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&lt;database&gt;.&lt;schema&gt;.&lt;table_or_view&gt;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Date column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&lt;date_column&gt;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Metric and dimension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&lt;metric_column&gt; / &lt;dimension&gt;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Canonical KPI value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&lt;value&gt; for &lt;time_boundary&gt;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Performance target</w:t>
            </w:r>
          </w:p>
        </w:tc>
        <w:tc>
          <w:tcPr>
            <w:tcW w:type="dxa" w:w="69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p95 &lt;= &lt;target_seconds&gt;, if required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Fill the angle-bracket placeholders before execution.</w:t>
      </w:r>
    </w:p>
    <w:p>
      <w:pPr>
        <w:pStyle w:val="Heading1"/>
      </w:pPr>
      <w:r>
        <w:t>3. Execution rules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Use a non-production test dataset or read-only queries whenever possible.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Record the user, role, database, filters, time boundary and timestamp for every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Pass means the result matches the expected result, not merely that the page opened.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Fail means a required behavior is wrong or unsafe; Blocked means the feature/environment is not ready.</w:t>
      </w:r>
    </w:p>
    <w:p>
      <w:pPr>
        <w:pStyle w:val="BodyText"/>
        <w:spacing w:after="80" w:line="300" w:lineRule="auto"/>
        <w:ind w:left="540" w:hanging="271"/>
        <w:numPr>
          <w:ilvl w:val="0"/>
          <w:numId w:val="10"/>
        </w:numPr>
      </w:pPr>
      <w:r>
        <w:t>For every numeric KPI, compare Superset with a canonical SQL result and record the tolerance.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Use when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Actual behavior matches the expected result.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Fail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required behavior is missing, wrong or unsafe.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feature is not enabled or the test environment is not ready.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75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test is outside the agreed scope.</w:t>
            </w:r>
          </w:p>
        </w:tc>
      </w:tr>
    </w:tbl>
    <w:p>
      <w:pPr>
        <w:pStyle w:val="Heading1"/>
      </w:pPr>
      <w:r>
        <w:t>4. Test case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4600"/>
        <w:gridCol w:w="1400"/>
        <w:gridCol w:w="2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case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Execution status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TC-01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Login and basic navigation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TC-02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the database connection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TC-03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Register a dataset and inspect columns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TC-04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Create one basic chart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TC-05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Create and open a dashboard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TC-06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Apply, reset and validate a dashboard filter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TC-07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Run a basic SQL Lab query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TC-08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Export chart or dashboard data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TC-09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Validate role and row-level access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TC-10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Observe performance, cache and long-query behavior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TC-11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Trigger an alert or scheduled report (optional)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P1 / optional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Optional/conditional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TC-12</w:t>
            </w:r>
          </w:p>
        </w:tc>
        <w:tc>
          <w:tcPr>
            <w:tcW w:type="dxa" w:w="46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Reconcile one KPI with the canonical source query</w:t>
            </w:r>
          </w:p>
        </w:tc>
        <w:tc>
          <w:tcPr>
            <w:tcW w:type="dxa" w:w="14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Ready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P0 cases are the minimum smoke/acceptance set.</w:t>
      </w:r>
    </w:p>
    <w:p>
      <w:pPr>
        <w:pStyle w:val="Heading1"/>
      </w:pPr>
      <w:r>
        <w:t>5. Detailed step-by-step test cases</w:t>
      </w:r>
    </w:p>
    <w:p>
      <w:pPr>
        <w:pStyle w:val="BodyText"/>
      </w:pPr>
      <w:r>
        <w:t>Execute the cases in ID order. If a prerequisite fails, stop dependent cases and record them as Blocked.</w:t>
      </w:r>
    </w:p>
    <w:p>
      <w:pPr>
        <w:pStyle w:val="Heading2"/>
      </w:pPr>
      <w:r>
        <w:t>TC-01 — Login and basic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valid Superset user account and the Superset URL are available.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None.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the Superset URL in a browser.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Enter the test username and password, then sign in.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the main navigation and locate Dashboards, Datasets, Explore and SQL Lab.</w:t>
      </w:r>
    </w:p>
    <w:p>
      <w:pPr>
        <w:pStyle w:val="BodyText"/>
        <w:spacing w:after="80" w:line="300" w:lineRule="auto"/>
        <w:ind w:left="540" w:hanging="271"/>
        <w:numPr>
          <w:ilvl w:val="0"/>
          <w:numId w:val="11"/>
        </w:numPr>
      </w:pPr>
      <w:r>
        <w:t>Open one page that the test user is expected to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Login succeeds. Only the pages allowed for the user are visible. The allowed page opens without a permission error.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Screenshot of the landing page and the user/role used.</w:t>
      </w:r>
    </w:p>
    <w:p>
      <w:pPr>
        <w:pStyle w:val="Heading2"/>
      </w:pPr>
      <w:r>
        <w:t>TC-02 — Test the database connection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 administrator has configured the target SQL-speaking database connection.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Connection name: &lt;connection_name&gt;.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Open Settings &gt; Database Connections.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Open the target connection.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Run Test Connection.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12"/>
        </w:numPr>
      </w:pPr>
      <w:r>
        <w:t>If the test passes, open the connection details and note the database type and schema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connection test succeeds. The configured driver/dialect can reach the database and the test user has only the intended access.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Connection test result, connection name and timestamp. Do not capture passwords or secrets.</w:t>
      </w:r>
    </w:p>
    <w:p>
      <w:pPr>
        <w:pStyle w:val="Heading2"/>
      </w:pPr>
      <w:r>
        <w:t>TC-03 — Register a dataset and inspect columns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TC-02 passed. A test table or view already exists in the database.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Dataset: &lt;database&gt;.&lt;schema&gt;.&lt;table_or_view&gt;; date column: &lt;date_column&gt;; metric column: &lt;metric_column&gt;.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Open Data &gt; Datasets and choose + Dataset.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Select the target database, schema and table/view, then save.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Open the new dataset and inspect the column names and data types.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3"/>
        </w:numPr>
      </w:pPr>
      <w:r>
        <w:t>Mark the date column as temporal and confirm the metric/dimension metadata used by the project.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dataset is registered without copying analytical data into Superset. Column names, types and time metadata match the source table/view.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Dataset URL, column list and one source-schema screenshot or SQL result.</w:t>
      </w:r>
    </w:p>
    <w:p>
      <w:pPr>
        <w:pStyle w:val="Heading2"/>
      </w:pPr>
      <w:r>
        <w:t>TC-04 — Create one basic chart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TC-03 passed and the test user can Explore the dataset.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Dimension: &lt;dimension&gt;; metric: SUM(&lt;metric_column&gt;); time range: &lt;test_period&gt;.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Open the dataset and choose Explore.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Choose a simple chart type, such as Table or Time-series Line Chart.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Select the dimension, metric and time range from the test data sheet.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Run the chart and compare the main number with the canonical SQL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4"/>
        </w:numPr>
      </w:pPr>
      <w:r>
        <w:t>Save the chart as &lt;test_chart_name&gt;.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chart runs, displays the expected columns/series and matches the canonical SQL result within the agreed tolerance. The chart can be saved.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Chart URL, screenshot and the canonical SQL/result value.</w:t>
      </w:r>
    </w:p>
    <w:p>
      <w:pPr>
        <w:pStyle w:val="Heading2"/>
      </w:pPr>
      <w:r>
        <w:t>TC-05 — Create and open a 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TC-04 passed and a test user has dashboard create/edit permission.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Chart: &lt;test_chart_name&gt;; dashboard: &lt;test_dashboard_name&gt;.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Create a new dashboard named &lt;test_dashboard_name&gt;.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Add the saved chart to the dashboard.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Arrange the chart, save the dashboard and refresh the page.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5"/>
        </w:numPr>
      </w:pPr>
      <w:r>
        <w:t>Open the dashboard again from the dashboard list.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dashboard saves successfully, the chart remains on the layout after refresh, and the dashboard can be reopened by an allowed user.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Dashboard URL, screenshot before/after refresh and the user who opened it.</w:t>
      </w:r>
    </w:p>
    <w:p>
      <w:pPr>
        <w:pStyle w:val="Heading2"/>
      </w:pPr>
      <w:r>
        <w:t>TC-06 — Apply, reset and validate a dashboard filter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TC-05 passed and the dashboard contains a filterable date or dimension column.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Filter field: &lt;filter_column&gt;; baseline value: &lt;baseline_value&gt;; filtered value: &lt;filtered_value&gt;.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Open the test dashboard and record the baseline KPI value.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Apply the filter using &lt;filtered_value&gt;.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Check that the expected charts update and record the filtered KPI value.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Clear or reset the filter.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6"/>
        </w:numPr>
      </w:pPr>
      <w:r>
        <w:t>Compare the value after reset with the original baseline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intended charts respond to the filter, the filtered value matches the canonical SQL result, and reset returns the dashboard to the baseline state.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Before/after screenshots and the two SQL results.</w:t>
      </w:r>
    </w:p>
    <w:p>
      <w:pPr>
        <w:pStyle w:val="Heading2"/>
      </w:pPr>
      <w:r>
        <w:t>TC-07 — Run a basic SQL Lab query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test user has SQL Lab access and the target database is available.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Use a read-only query against &lt;table_or_view&gt;; never use production-changing SQL.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Open SQL Lab and choose the target database and schema.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Run a small read-only query, for example SELECT &lt;dimension&gt;, SUM(&lt;metric_column&gt;) ... GROUP BY &lt;dimension&gt;.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Check the result columns, row count/limit indicator and query status.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7"/>
        </w:numPr>
      </w:pPr>
      <w:r>
        <w:t>Save the query only if the project allows saved SQL or virtual datasets.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query runs successfully, the result is readable, and any row limit or truncation is visible. SQL Lab does not silently imply that a limited result is the full result.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Query text, query status, result label and timestamp. Remove sensitive values before sharing.</w:t>
      </w:r>
    </w:p>
    <w:p>
      <w:pPr>
        <w:pStyle w:val="Heading2"/>
      </w:pPr>
      <w:r>
        <w:t>TC-08 — Export chart or dashboard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saved chart or dashboard exists and export permission is defined.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Expected columns: &lt;column_list&gt;; expected row-count behavior: &lt;full_or_limited&gt;.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Open the test chart or dashboard.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Use the chart menu to export the available data format.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Open the downloaded file and inspect the header and a few rows.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8"/>
        </w:numPr>
      </w:pPr>
      <w:r>
        <w:t>Compare the file columns and row-count behavior with the dashboard/query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Export succeeds when permitted, the file contains the expected columns, and any row limit is consistent with the documented configuration.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File name, file type, row count and a redacted sample; do not upload sensitive data into the test evidence.</w:t>
      </w:r>
    </w:p>
    <w:p>
      <w:pPr>
        <w:pStyle w:val="Heading2"/>
      </w:pPr>
      <w:r>
        <w:t>TC-09 — Validate role and row-level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 admin/test owner has defined expected access for &lt;restricted_user&gt; and, if applicable, an RLS rule for &lt;tenant_or_region&gt;.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Allowed value: &lt;allowed_scope&gt;; forbidden value: &lt;forbidden_scope&gt;.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Sign in as the restricted test user.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Open the same dashboard and dataset used in TC-05.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Run the chart/query that contains data from both the allowed and forbidden scopes.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Try to open a page or dataset that the role should not access.</w:t>
      </w:r>
    </w:p>
    <w:p>
      <w:pPr>
        <w:pStyle w:val="BodyText"/>
        <w:spacing w:after="80" w:line="300" w:lineRule="auto"/>
        <w:ind w:left="540" w:hanging="271"/>
        <w:numPr>
          <w:ilvl w:val="0"/>
          <w:numId w:val="19"/>
        </w:numPr>
      </w:pPr>
      <w:r>
        <w:t>Compare the visible rows with the expected access matrix.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user can see only the approved dashboard/data scope. Forbidden rows or objects are not exposed. If RLS or the role is not configured, mark Blocked rather than treating the result as Pass.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User/role name, expected access matrix, redacted result and any access-denied message.</w:t>
      </w:r>
    </w:p>
    <w:p>
      <w:pPr>
        <w:pStyle w:val="Heading2"/>
      </w:pPr>
      <w:r>
        <w:t>TC-10 — Observe performance, cache and long-query behavior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 performance threshold is agreed, for example p95 dashboard load &lt;= &lt;target_seconds&gt;. Async query/caching may be optional.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Dashboard: &lt;test_dashboard_name&gt;; long query: &lt;query_or_saved_chart&gt;.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Open the dashboard twice and record the load time for each run.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Run the known longer query or chart and record whether it completes synchronously, asynchronously or times out.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If cache is enabled, repeat the test within the cache TTL and record the observed behavior.</w:t>
      </w:r>
    </w:p>
    <w:p>
      <w:pPr>
        <w:pStyle w:val="BodyText"/>
        <w:spacing w:after="80" w:line="300" w:lineRule="auto"/>
        <w:ind w:left="540" w:hanging="271"/>
        <w:numPr>
          <w:ilvl w:val="0"/>
          <w:numId w:val="20"/>
        </w:numPr>
      </w:pPr>
      <w:r>
        <w:t>Compare the result and timing with the agreed threshold.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dashboard meets the agreed threshold or the deviation is documented. A long query either completes through the configured async path or is clearly recorded as a timeout/blocked capability; no silent data loss is accepted.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Start/end timestamps, query status, response time and cache/async configuration reference.</w:t>
      </w:r>
    </w:p>
    <w:p>
      <w:pPr>
        <w:pStyle w:val="Heading2"/>
      </w:pPr>
      <w:r>
        <w:t>TC-11 — Trigger an alert or scheduled report (optional)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Alerts/reports are enabled and the worker, scheduler, notification channel and headless browser are configured.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 condition: &lt;simple_condition&gt;; recipient/channel: &lt;test_recipient&gt;.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Create or select a test SQL condition or report schedule with a safe, predictable result.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Send the test alert/report to a test recipient or channel.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Wait for the configured schedule or run the test according to the operating procedure.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1"/>
        </w:numPr>
      </w:pPr>
      <w:r>
        <w:t>Check the notification content, timestamp and link back to the chart/dashboard.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The alert/report is delivered with the expected chart or condition result. If the feature is not enabled, mark Blocked and record the missing configuration; do not mark Fail for an unrequested optional feature.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Notification timestamp, redacted message and job status.</w:t>
      </w:r>
    </w:p>
    <w:p>
      <w:pPr>
        <w:pStyle w:val="Heading2"/>
      </w:pPr>
      <w:r>
        <w:t>TC-12 — Reconcile one KPI with the canonical source query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Precondition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fill="E8EEF5" w:val="clea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Test data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The project has a canonical SQL query or approved source-of-truth number for one KPI.</w:t>
            </w:r>
          </w:p>
        </w:tc>
        <w:tc>
          <w:tcPr>
            <w:tcW w:type="dxa" w:w="46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KPI: &lt;kpi_name&gt;; grain: &lt;grain&gt;; time boundary: &lt;time_boundary&gt;; tolerance: &lt;tolerance&gt;.</w:t>
            </w:r>
          </w:p>
        </w:tc>
      </w:tr>
    </w:tbl>
    <w:p>
      <w:pPr>
        <w:pStyle w:val="Heading3"/>
      </w:pPr>
      <w:r>
        <w:t>Steps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Run the canonical SQL directly in the source database.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Run the equivalent chart/query in Superset using the same period, filters and access scope.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Compare the value, row grain, date boundary and sample record.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Repeat after a refresh or cache expiry if freshness is part of the requirement.</w:t>
      </w:r>
    </w:p>
    <w:p>
      <w:pPr>
        <w:pStyle w:val="BodyText"/>
        <w:spacing w:after="80" w:line="300" w:lineRule="auto"/>
        <w:ind w:left="540" w:hanging="271"/>
        <w:numPr>
          <w:ilvl w:val="0"/>
          <w:numId w:val="22"/>
        </w:numPr>
      </w:pPr>
      <w:r>
        <w:t>Record any difference as a defect or an approved definition difference; do not fix it by changing the chart silently.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nil" w:sz="0" w:space="0" w:color="F2F4F7"/>
              <w:left w:val="single" w:sz="18" w:space="0" w:color="2E74B5"/>
              <w:bottom w:val="nil" w:sz="0" w:space="0" w:color="F2F4F7"/>
              <w:right w:val="nil" w:sz="0" w:space="0" w:color="F2F4F7"/>
            </w:tcBorders>
          </w:tcPr>
          <w:p>
            <w:pPr>
              <w:pStyle w:val="CalloutLabel"/>
            </w:pPr>
            <w:r/>
            <w:r>
              <w:rPr>
                <w:rFonts w:ascii="Calibri" w:hAnsi="Calibri" w:eastAsia="Calibri"/>
                <w:b/>
                <w:color w:val="0B2545"/>
                <w:sz w:val="20"/>
              </w:rPr>
              <w:t>Expected result</w:t>
            </w:r>
          </w:p>
          <w:p>
            <w:pPr>
              <w:pStyle w:val="CalloutBody"/>
            </w:pPr>
            <w:r>
              <w:rPr>
                <w:rFonts w:ascii="Calibri" w:hAnsi="Calibri" w:eastAsia="Calibri"/>
                <w:color w:val="000000"/>
                <w:sz w:val="21"/>
              </w:rPr>
              <w:t>Superset matches the canonical source within the agreed tolerance and freshness window. Any difference has a documented cause, owner and resolution status.</w:t>
            </w:r>
          </w:p>
        </w:tc>
      </w:tr>
    </w:tbl>
    <w:p>
      <w:pPr>
        <w:pStyle w:val="SourceNote"/>
      </w:pPr>
      <w:r>
        <w:rPr>
          <w:rFonts w:ascii="Calibri" w:hAnsi="Calibri" w:eastAsia="Calibri"/>
          <w:i/>
          <w:color w:val="5B6776"/>
          <w:sz w:val="17"/>
        </w:rPr>
        <w:t>Evidence: Canonical SQL/result, Superset result, timestamp, filters and reconciliation status.</w:t>
      </w:r>
    </w:p>
    <w:p>
      <w:pPr>
        <w:pStyle w:val="Heading1"/>
      </w:pPr>
      <w:r>
        <w:t>6. Final acceptance</w:t>
      </w:r>
    </w:p>
    <w:p>
      <w:pPr>
        <w:pStyle w:val="Lead"/>
      </w:pPr>
      <w:r>
        <w:t>The basic test set is ready for sign-off when all P0 cases pass, every P1 result is either pass or has an approved exception, no forbidden data is visible, and every KPI difference has a documented explanation.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All P0 cases are Pass.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All Fail/Blocked cases have an owner and next action.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Canonical SQL and Superset values are attached for the key KPIs.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Access-control evidence shows that forbidden rows/objects are not exposed.</w:t>
      </w:r>
    </w:p>
    <w:p>
      <w:pPr>
        <w:pStyle w:val="BodyText"/>
        <w:spacing w:after="80" w:line="300" w:lineRule="auto"/>
        <w:ind w:left="540" w:hanging="271"/>
        <w:numPr>
          <w:ilvl w:val="0"/>
          <w:numId w:val="23"/>
        </w:numPr>
      </w:pPr>
      <w:r>
        <w:t>Known limits such as row limit, timeout, cache freshness and optional features are documented.</w:t>
      </w:r>
    </w:p>
    <w:p>
      <w:pPr>
        <w:pStyle w:val="Heading1"/>
      </w:pPr>
      <w:r>
        <w:t>7. References</w:t>
      </w:r>
    </w:p>
    <w:p>
      <w:pPr>
        <w:pStyle w:val="BodyText"/>
      </w:pPr>
      <w:r>
        <w:t>Use the official documentation below as the reference for expected product behavior. Test results still depend on the actual deployment, permissions, database and enabled features.</w:t>
      </w:r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[1] </w:t>
      </w:r>
      <w:hyperlink r:id="rId11">
        <w:r>
          <w:rPr>
            <w:rStyle w:val="Hyperlink"/>
            <w:color w:val="0563C1"/>
            <w:u w:val="single"/>
          </w:rPr>
          <w:t>Apache Superset 6.0.0 — Introduction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[2] </w:t>
      </w:r>
      <w:hyperlink r:id="rId12">
        <w:r>
          <w:rPr>
            <w:rStyle w:val="Hyperlink"/>
            <w:color w:val="0563C1"/>
            <w:u w:val="single"/>
          </w:rPr>
          <w:t>Apache Superset 6.0.0 — Creating your first dashboard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[3] </w:t>
      </w:r>
      <w:hyperlink r:id="rId13">
        <w:r>
          <w:rPr>
            <w:rStyle w:val="Hyperlink"/>
            <w:color w:val="0563C1"/>
            <w:u w:val="single"/>
          </w:rPr>
          <w:t>Apache Superset 6.0.0 — Exploring data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[4] </w:t>
      </w:r>
      <w:hyperlink r:id="rId14">
        <w:r>
          <w:rPr>
            <w:rStyle w:val="Hyperlink"/>
            <w:color w:val="0563C1"/>
            <w:u w:val="single"/>
          </w:rPr>
          <w:t>Apache Superset 6.0.0 — Architecture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[5] </w:t>
      </w:r>
      <w:hyperlink r:id="rId15">
        <w:r>
          <w:rPr>
            <w:rStyle w:val="Hyperlink"/>
            <w:color w:val="0563C1"/>
            <w:u w:val="single"/>
          </w:rPr>
          <w:t>Apache Superset 6.0.0 — Async queries via Celery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[6] </w:t>
      </w:r>
      <w:hyperlink r:id="rId16">
        <w:r>
          <w:rPr>
            <w:rStyle w:val="Hyperlink"/>
            <w:color w:val="0563C1"/>
            <w:u w:val="single"/>
          </w:rPr>
          <w:t>Apache Superset 6.0.0 — Alerts and reports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[7] </w:t>
      </w:r>
      <w:hyperlink r:id="rId17">
        <w:r>
          <w:rPr>
            <w:rStyle w:val="Hyperlink"/>
            <w:color w:val="0563C1"/>
            <w:u w:val="single"/>
          </w:rPr>
          <w:t>Apache Superset 6.0.0 — Security</w:t>
        </w:r>
      </w:hyperlink>
    </w:p>
    <w:p>
      <w:pPr>
        <w:pStyle w:val="SourceNote"/>
      </w:pPr>
      <w:r>
        <w:rPr>
          <w:rFonts w:ascii="Calibri" w:hAnsi="Calibri" w:eastAsia="Calibri"/>
          <w:b/>
          <w:color w:val="0B2545"/>
          <w:sz w:val="17"/>
        </w:rPr>
        <w:t xml:space="preserve">[8] </w:t>
      </w:r>
      <w:hyperlink r:id="rId18">
        <w:r>
          <w:rPr>
            <w:rStyle w:val="Hyperlink"/>
            <w:color w:val="0563C1"/>
            <w:u w:val="single"/>
          </w:rPr>
          <w:t>Apache Superset 6.0.0 — FAQ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Footer"/>
      <w:jc w:val="right"/>
    </w:pPr>
    <w:r>
      <w:rPr>
        <w:rFonts w:ascii="Calibri" w:hAnsi="Calibri" w:eastAsia="Calibri"/>
        <w:color w:val="5B6776"/>
        <w:sz w:val="17"/>
      </w:rPr>
      <w:t xml:space="preserve">Page </w:t>
    </w:r>
    <w:r>
      <w:rPr>
        <w:rFonts w:ascii="Calibri" w:hAnsi="Calibri" w:eastAsia="Calibri"/>
        <w:color w:val="5B67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Footer"/>
      <w:tabs>
        <w:tab w:pos="9360" w:val="right"/>
      </w:tabs>
    </w:pPr>
    <w:r>
      <w:rPr>
        <w:rFonts w:ascii="Calibri" w:hAnsi="Calibri" w:eastAsia="Calibri"/>
        <w:b/>
        <w:color w:val="5B6776"/>
        <w:sz w:val="17"/>
      </w:rPr>
      <w:t>Superset 6.0 | Basic Test Cases</w:t>
    </w:r>
    <w:r>
      <w:tab/>
    </w:r>
    <w:r>
      <w:rPr>
        <w:rFonts w:ascii="Calibri" w:hAnsi="Calibri" w:eastAsia="Calibri"/>
        <w:color w:val="5B6776"/>
        <w:sz w:val="17"/>
      </w:rPr>
      <w:t>Internal QA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before="0" w:line="300" w:lineRule="auto"/>
    </w:pPr>
    <w:rPr>
      <w:rFonts w:ascii="Calibri" w:hAnsi="Calibri" w:eastAsia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roTitle">
    <w:name w:val="Hero Title"/>
    <w:basedOn w:val="Normal"/>
    <w:pPr>
      <w:keepNext/>
      <w:spacing w:before="0" w:after="160" w:line="252" w:lineRule="auto"/>
    </w:pPr>
    <w:rPr>
      <w:rFonts w:ascii="Calibri" w:hAnsi="Calibri" w:eastAsia="Calibri"/>
      <w:b/>
      <w:color w:val="0B2545"/>
      <w:sz w:val="58"/>
    </w:rPr>
  </w:style>
  <w:style w:type="paragraph" w:customStyle="1" w:styleId="HeroSubtitle">
    <w:name w:val="Hero Subtitle"/>
    <w:basedOn w:val="Normal"/>
    <w:pPr>
      <w:keepNext/>
      <w:spacing w:before="0" w:after="360" w:line="276" w:lineRule="auto"/>
    </w:pPr>
    <w:rPr>
      <w:rFonts w:ascii="Calibri" w:hAnsi="Calibri" w:eastAsia="Calibri"/>
      <w:color w:val="5B6776"/>
      <w:sz w:val="28"/>
    </w:rPr>
  </w:style>
  <w:style w:type="paragraph" w:customStyle="1" w:styleId="Kicker">
    <w:name w:val="Kicker"/>
    <w:basedOn w:val="Normal"/>
    <w:pPr>
      <w:keepNext/>
      <w:spacing w:before="0" w:after="200" w:line="240" w:lineRule="auto"/>
    </w:pPr>
    <w:rPr>
      <w:rFonts w:ascii="Calibri" w:hAnsi="Calibri" w:eastAsia="Calibri"/>
      <w:b/>
      <w:color w:val="7A5A00"/>
      <w:sz w:val="19"/>
    </w:rPr>
  </w:style>
  <w:style w:type="paragraph" w:customStyle="1" w:styleId="Metadata">
    <w:name w:val="Metadata"/>
    <w:basedOn w:val="Normal"/>
    <w:pPr>
      <w:keepNext w:val="0"/>
      <w:spacing w:before="0" w:after="60" w:line="264" w:lineRule="auto"/>
    </w:pPr>
    <w:rPr>
      <w:rFonts w:ascii="Calibri" w:hAnsi="Calibri" w:eastAsia="Calibri"/>
      <w:color w:val="5B6776"/>
      <w:sz w:val="20"/>
    </w:rPr>
  </w:style>
  <w:style w:type="paragraph" w:customStyle="1" w:styleId="Lead">
    <w:name w:val="Lead"/>
    <w:basedOn w:val="Normal"/>
    <w:pPr>
      <w:keepNext w:val="0"/>
      <w:spacing w:before="0" w:after="160" w:line="300" w:lineRule="auto"/>
    </w:pPr>
    <w:rPr>
      <w:rFonts w:ascii="Calibri" w:hAnsi="Calibri" w:eastAsia="Calibri"/>
      <w:color w:val="0B2545"/>
      <w:sz w:val="24"/>
    </w:rPr>
  </w:style>
  <w:style w:type="paragraph" w:customStyle="1" w:styleId="CalloutLabel">
    <w:name w:val="Callout Label"/>
    <w:basedOn w:val="Normal"/>
    <w:pPr>
      <w:keepNext/>
      <w:spacing w:before="0" w:after="60" w:line="264" w:lineRule="auto"/>
    </w:pPr>
    <w:rPr>
      <w:rFonts w:ascii="Calibri" w:hAnsi="Calibri" w:eastAsia="Calibri"/>
      <w:b/>
      <w:color w:val="0B2545"/>
      <w:sz w:val="20"/>
    </w:rPr>
  </w:style>
  <w:style w:type="paragraph" w:customStyle="1" w:styleId="CalloutBody">
    <w:name w:val="Callout Body"/>
    <w:basedOn w:val="Normal"/>
    <w:pPr>
      <w:keepNext w:val="0"/>
      <w:spacing w:before="0" w:after="0" w:line="288" w:lineRule="auto"/>
    </w:pPr>
    <w:rPr>
      <w:rFonts w:ascii="Calibri" w:hAnsi="Calibri" w:eastAsia="Calibri"/>
      <w:color w:val="000000"/>
      <w:sz w:val="21"/>
    </w:rPr>
  </w:style>
  <w:style w:type="paragraph" w:customStyle="1" w:styleId="TableText">
    <w:name w:val="Table Text"/>
    <w:basedOn w:val="Normal"/>
    <w:pPr>
      <w:keepNext w:val="0"/>
      <w:spacing w:before="0" w:after="0" w:line="259" w:lineRule="auto"/>
    </w:pPr>
    <w:rPr>
      <w:rFonts w:ascii="Calibri" w:hAnsi="Calibri" w:eastAsia="Calibri"/>
      <w:color w:val="000000"/>
      <w:sz w:val="18"/>
    </w:rPr>
  </w:style>
  <w:style w:type="paragraph" w:customStyle="1" w:styleId="TableHeader">
    <w:name w:val="Table Header"/>
    <w:basedOn w:val="Normal"/>
    <w:pPr>
      <w:keepNext w:val="0"/>
      <w:spacing w:before="0" w:after="0" w:line="252" w:lineRule="auto"/>
    </w:pPr>
    <w:rPr>
      <w:rFonts w:ascii="Calibri" w:hAnsi="Calibri" w:eastAsia="Calibri"/>
      <w:b/>
      <w:color w:val="0B2545"/>
      <w:sz w:val="18"/>
    </w:rPr>
  </w:style>
  <w:style w:type="paragraph" w:customStyle="1" w:styleId="SourceNote">
    <w:name w:val="Source Note"/>
    <w:basedOn w:val="Normal"/>
    <w:pPr>
      <w:keepNext w:val="0"/>
      <w:spacing w:before="80" w:after="80" w:line="252" w:lineRule="auto"/>
    </w:pPr>
    <w:rPr>
      <w:rFonts w:ascii="Calibri" w:hAnsi="Calibri" w:eastAsia="Calibri"/>
      <w:color w:val="5B6776"/>
      <w:sz w:val="17"/>
    </w:rPr>
  </w:style>
  <w:style w:type="paragraph" w:customStyle="1" w:styleId="FigureCaption">
    <w:name w:val="Figure Caption"/>
    <w:basedOn w:val="Normal"/>
    <w:pPr>
      <w:keepNext w:val="0"/>
      <w:spacing w:before="60" w:after="120" w:line="264" w:lineRule="auto"/>
    </w:pPr>
    <w:rPr>
      <w:rFonts w:ascii="Calibri" w:hAnsi="Calibri" w:eastAsia="Calibri"/>
      <w:i/>
      <w:color w:val="5B6776"/>
      <w:sz w:val="18"/>
    </w:rPr>
  </w:style>
  <w:style w:type="paragraph" w:customStyle="1" w:styleId="QuietFooter">
    <w:name w:val="Quiet Footer"/>
    <w:basedOn w:val="Normal"/>
    <w:pPr>
      <w:keepNext w:val="0"/>
      <w:spacing w:before="0" w:after="0" w:line="240" w:lineRule="auto"/>
    </w:pPr>
    <w:rPr>
      <w:rFonts w:ascii="Calibri" w:hAnsi="Calibri" w:eastAsia="Calibri"/>
      <w:color w:val="5B6776"/>
      <w:sz w:val="17"/>
    </w:rPr>
  </w:style>
  <w:style w:type="paragraph" w:customStyle="1" w:styleId="Navigation">
    <w:name w:val="Navigation"/>
    <w:basedOn w:val="Normal"/>
    <w:pPr>
      <w:keepNext w:val="0"/>
      <w:spacing w:before="0" w:after="80" w:line="276" w:lineRule="auto"/>
    </w:pPr>
    <w:rPr>
      <w:rFonts w:ascii="Calibri" w:hAnsi="Calibri" w:eastAsia="Calibr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erset.apache.org/user-docs/6.0.0/intro/" TargetMode="External"/><Relationship Id="rId12" Type="http://schemas.openxmlformats.org/officeDocument/2006/relationships/hyperlink" Target="https://superset.apache.org/user-docs/6.0.0/using-superset/creating-your-first-dashboard/" TargetMode="External"/><Relationship Id="rId13" Type="http://schemas.openxmlformats.org/officeDocument/2006/relationships/hyperlink" Target="https://superset.apache.org/user-docs/6.0.0/using-superset/exploring-data/" TargetMode="External"/><Relationship Id="rId14" Type="http://schemas.openxmlformats.org/officeDocument/2006/relationships/hyperlink" Target="https://superset.apache.org/user-docs/6.0.0/installation/architecture/" TargetMode="External"/><Relationship Id="rId15" Type="http://schemas.openxmlformats.org/officeDocument/2006/relationships/hyperlink" Target="https://superset.apache.org/user-docs/6.0.0/configuration/async-queries-celery/" TargetMode="External"/><Relationship Id="rId16" Type="http://schemas.openxmlformats.org/officeDocument/2006/relationships/hyperlink" Target="https://superset.apache.org/user-docs/6.0.0/configuration/alerts-reports/" TargetMode="External"/><Relationship Id="rId17" Type="http://schemas.openxmlformats.org/officeDocument/2006/relationships/hyperlink" Target="https://superset.apache.org/user-docs/6.0.0/security/" TargetMode="External"/><Relationship Id="rId18" Type="http://schemas.openxmlformats.org/officeDocument/2006/relationships/hyperlink" Target="https://superset.apache.org/user-docs/6.0.0/fa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Superset 6.0 Basic Test Cases</dc:title>
  <dc:subject>Step-by-step smoke and acceptance checks for Superset capability/limitation claims</dc:subject>
  <dc:creator>BI Enablement</dc:creator>
  <cp:keywords>Superset 6.0, test case, QA, dashboard, ClickHouse,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