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INTERNAL QA CHECKLIST</w:t>
      </w:r>
    </w:p>
    <w:p>
      <w:pPr>
        <w:pStyle w:val="HeroTitle"/>
        <w:jc w:val="center"/>
      </w:pPr>
      <w:r>
        <w:t>Apache Superset 6.0</w:t>
      </w:r>
    </w:p>
    <w:p>
      <w:pPr>
        <w:pStyle w:val="HeroSubtitle"/>
        <w:jc w:val="center"/>
      </w:pPr>
      <w:r>
        <w:t>Basic step-by-step test cases for capability and limitation validation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Scope: </w:t>
      </w:r>
      <w:r>
        <w:rPr>
          <w:rFonts w:ascii="Calibri" w:hAnsi="Calibri" w:eastAsia="Calibri"/>
          <w:color w:val="5B6776"/>
          <w:sz w:val="20"/>
        </w:rPr>
        <w:t>Superset 6.0.0 with a SQL-speaking analytical database; ClickHouse may be used as the test database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Audience: </w:t>
      </w:r>
      <w:r>
        <w:rPr>
          <w:rFonts w:ascii="Calibri" w:hAnsi="Calibri" w:eastAsia="Calibri"/>
          <w:color w:val="5B6776"/>
          <w:sz w:val="20"/>
        </w:rPr>
        <w:t>BI fresher, BI analyst, dashboard owner, QA and Superset administrator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Version: </w:t>
      </w:r>
      <w:r>
        <w:rPr>
          <w:rFonts w:ascii="Calibri" w:hAnsi="Calibri" w:eastAsia="Calibri"/>
          <w:color w:val="5B6776"/>
          <w:sz w:val="20"/>
        </w:rPr>
        <w:t>v1.5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Review date: </w:t>
      </w:r>
      <w:r>
        <w:rPr>
          <w:rFonts w:ascii="Calibri" w:hAnsi="Calibri" w:eastAsia="Calibri"/>
          <w:color w:val="5B6776"/>
          <w:sz w:val="20"/>
        </w:rPr>
        <w:t>18 August 2026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Purpose: </w:t>
      </w:r>
      <w:r>
        <w:rPr>
          <w:rFonts w:ascii="Calibri" w:hAnsi="Calibri" w:eastAsia="Calibri"/>
          <w:color w:val="5B6776"/>
          <w:sz w:val="20"/>
        </w:rPr>
        <w:t>Verify the documented behavior with a small, repeatable test 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nil" w:sz="0" w:space="0" w:color="E8EEF5"/>
              <w:left w:val="single" w:sz="18" w:space="0" w:color="2E74B5"/>
              <w:bottom w:val="nil" w:sz="0" w:space="0" w:color="E8EEF5"/>
              <w:right w:val="nil" w:sz="0" w:space="0" w:color="E8EEF5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How to use this document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Replace every value in angle brackets before execution. Run P0 cases first. Mark a feature as Blocked when its configuration is missing; do not convert a configuration gap into a product failure.</w:t>
            </w:r>
          </w:p>
        </w:tc>
      </w:tr>
    </w:tbl>
    <w:p>
      <w:pPr>
        <w:pStyle w:val="SourceNote"/>
        <w:jc w:val="center"/>
      </w:pPr>
      <w:r>
        <w:rPr>
          <w:rFonts w:ascii="Calibri" w:hAnsi="Calibri" w:eastAsia="Calibri"/>
          <w:i/>
          <w:color w:val="5B6776"/>
        </w:rPr>
        <w:t>Document version: v1.5 | Superset scope: 6.0.0 | Basis: official Apache Superset documentation</w:t>
      </w:r>
    </w:p>
    <w:p>
      <w:r>
        <w:br w:type="page"/>
      </w:r>
    </w:p>
    <w:p>
      <w:pPr>
        <w:pStyle w:val="Heading1"/>
      </w:pPr>
      <w:r>
        <w:t>1. Purpose and test scope</w:t>
      </w:r>
    </w:p>
    <w:p>
      <w:pPr>
        <w:pStyle w:val="Lead"/>
      </w:pPr>
      <w:r>
        <w:t>This checklist is a basic smoke/acceptance test for the Superset 6.0 capability and limitation statements. It checks the end-to-end path from database connection to dataset, chart, dashboard, filtering, SQL Lab, access control and source reconciliation. It is not a performance benchmark, security penetration test or full regression suite.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nil" w:sz="0" w:space="0" w:color="F4F6F9"/>
              <w:left w:val="single" w:sz="18" w:space="0" w:color="7A5A00"/>
              <w:bottom w:val="nil" w:sz="0" w:space="0" w:color="F4F6F9"/>
              <w:right w:val="nil" w:sz="0" w:space="0" w:color="F4F6F9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Evidence to attach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At minimum: URL, user/role, timestamp, screenshot, query or chart name, expected value, actual value and final status. Redact credentials and sensitive customer/member data.</w:t>
            </w:r>
          </w:p>
        </w:tc>
      </w:tr>
    </w:tbl>
    <w:p>
      <w:pPr>
        <w:pStyle w:val="Heading1"/>
      </w:pPr>
      <w:r>
        <w:t>2. Minimum test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Fill before testing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Superset URL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&lt;superset_url&gt;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Admin/test owner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&lt;admin_user&gt;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Analyst/test user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&lt;analyst_user&gt;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Restricted user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&lt;restricted_user&gt; or N/A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Database connection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&lt;connection_name&gt;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dataset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&lt;database&gt;.&lt;schema&gt;.&lt;table_or_view&gt;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Date column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&lt;date_column&gt;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Metric and dimension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&lt;metric_column&gt; / &lt;dimension&gt;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Canonical KPI value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&lt;value&gt; for &lt;time_boundary&gt;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Performance target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p95 &lt;= &lt;target_seconds&gt;, if required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Fill the angle-bracket placeholders before execution.</w:t>
      </w:r>
    </w:p>
    <w:p>
      <w:pPr>
        <w:pStyle w:val="Heading1"/>
      </w:pPr>
      <w:r>
        <w:t>3. Execution rules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Use a non-production test dataset or read-only queries whenever possible.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Record the user, role, database, filters, time boundary and timestamp for every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Pass means the result matches the expected result, not merely that the page opened.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Fail means a required behavior is wrong or unsafe; Blocked means the feature/environment is not ready.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For every numeric KPI, compare Superset with a canonical SQL result and record the tolerance.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Use when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Actual behavior matches the expected result.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required behavior is missing, wrong or unsafe.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feature is not enabled or the test environment is not ready.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test is outside the agreed scope.</w:t>
            </w:r>
          </w:p>
        </w:tc>
      </w:tr>
    </w:tbl>
    <w:p>
      <w:pPr>
        <w:pStyle w:val="Heading1"/>
      </w:pPr>
      <w:r>
        <w:t>4. Test case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4600"/>
        <w:gridCol w:w="1400"/>
        <w:gridCol w:w="2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Execution status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TC-01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Login and basic navigation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TC-02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the database connection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TC-03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Register a dataset and inspect columns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TC-04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Create one basic chart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TC-05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Create and open a dashboard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TC-06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Apply, reset and validate a dashboard filter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TC-07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Run a basic SQL Lab query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TC-08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Export chart or dashboard data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TC-09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role and row-level access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TC-10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Observe performance, cache and long-query behavior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TC-11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Trigger an alert or scheduled report (optional)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 / optional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TC-12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Reconcile one KPI with the canonical source query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TC-13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PDF export layout and readability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TC-14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bubble chart clipping and overlap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TC-15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semantic-layer and ad-hoc calculation boundaries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TC-16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governance, RLS and advanced interaction coverage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TC-17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dashboard layout, responsive behavior and distribution outputs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TC-18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chart controls, formatting and visualization consistency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TC-19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operational lifecycle and support dependencies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P0 cases are the minimum smoke/acceptance set.</w:t>
      </w:r>
    </w:p>
    <w:p>
      <w:pPr>
        <w:pStyle w:val="Heading1"/>
      </w:pPr>
      <w:r>
        <w:t>5. Detailed step-by-step test cases</w:t>
      </w:r>
    </w:p>
    <w:p>
      <w:pPr>
        <w:pStyle w:val="BodyText"/>
      </w:pPr>
      <w:r>
        <w:t>Execute the cases in ID order. If a prerequisite fails, stop dependent cases and record them as Blocked.</w:t>
      </w:r>
    </w:p>
    <w:p>
      <w:pPr>
        <w:pStyle w:val="Heading2"/>
      </w:pPr>
      <w:r>
        <w:t>TC-01 — Login and basic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valid Superset user account and the Superset URL are available.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None.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the Superset URL in a browser.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Enter the test username and password, then sign in.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the main navigation and locate Dashboards, Datasets, Explore and SQL Lab.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one page that the test user is expected to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Login succeeds. Only the pages allowed for the user are visible. The allowed page opens without a permission error.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Screenshot of the landing page and the user/role used.</w:t>
      </w:r>
    </w:p>
    <w:p>
      <w:pPr>
        <w:pStyle w:val="Heading2"/>
      </w:pPr>
      <w:r>
        <w:t>TC-02 — Test the database connection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 administrator has configured the target SQL-speaking database connection.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Connection name: &lt;connection_name&gt;.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Open Settings &gt; Database Connections.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Open the target connection.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Run Test Connection.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If the test passes, open the connection details and note the database type and schema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connection test succeeds. The configured driver/dialect can reach the database and the test user has only the intended access.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Connection test result, connection name and timestamp. Do not capture passwords or secrets.</w:t>
      </w:r>
    </w:p>
    <w:p>
      <w:pPr>
        <w:pStyle w:val="Heading2"/>
      </w:pPr>
      <w:r>
        <w:t>TC-03 — Register a dataset and inspect columns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TC-02 passed. A test table or view already exists in the database.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Dataset: &lt;database&gt;.&lt;schema&gt;.&lt;table_or_view&gt;; date column: &lt;date_column&gt;; metric column: &lt;metric_column&gt;.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Open Data &gt; Datasets and choose + Dataset.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Select the target database, schema and table/view, then save.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Open the new dataset and inspect the column names and data types.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Mark the date column as temporal and confirm the metric/dimension metadata used by the project.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dataset is registered without copying analytical data into Superset. Column names, types and time metadata match the source table/view.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Dataset URL, column list and one source-schema screenshot or SQL result.</w:t>
      </w:r>
    </w:p>
    <w:p>
      <w:pPr>
        <w:pStyle w:val="Heading2"/>
      </w:pPr>
      <w:r>
        <w:t>TC-04 — Create one basic chart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TC-03 passed and the test user can Explore the dataset.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Dimension: &lt;dimension&gt;; metric: SUM(&lt;metric_column&gt;); time range: &lt;test_period&gt;.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Open the dataset and choose Explore.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Choose a simple chart type, such as Table or Time-series Line Chart.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Select the dimension, metric and time range from the test data sheet.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Run the chart and compare the main number with the canonical SQL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Save the chart as &lt;test_chart_name&gt;.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chart runs, displays the expected columns/series and matches the canonical SQL result within the agreed tolerance. The chart can be saved.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Chart URL, screenshot and the canonical SQL/result value.</w:t>
      </w:r>
    </w:p>
    <w:p>
      <w:pPr>
        <w:pStyle w:val="Heading2"/>
      </w:pPr>
      <w:r>
        <w:t>TC-05 — Create and open a 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TC-04 passed and a test user has dashboard create/edit permission.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Chart: &lt;test_chart_name&gt;; dashboard: &lt;test_dashboard_name&gt;.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Create a new dashboard named &lt;test_dashboard_name&gt;.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Add the saved chart to the dashboard.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Arrange the chart, save the dashboard and refresh the page.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Open the dashboard again from the dashboard list.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dashboard saves successfully, the chart remains on the layout after refresh, and the dashboard can be reopened by an allowed user.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Dashboard URL, screenshot before/after refresh and the user who opened it.</w:t>
      </w:r>
    </w:p>
    <w:p>
      <w:pPr>
        <w:pStyle w:val="Heading2"/>
      </w:pPr>
      <w:r>
        <w:t>TC-06 — Apply, reset and validate a dashboard filter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TC-05 passed and the dashboard contains a filterable date or dimension column.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Filter field: &lt;filter_column&gt;; baseline value: &lt;baseline_value&gt;; filtered value: &lt;filtered_value&gt;.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Open the test dashboard and record the baseline KPI value.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Apply the filter using &lt;filtered_value&gt;.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Check that the expected charts update and record the filtered KPI value.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Clear or reset the filter.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Compare the value after reset with the original baseline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intended charts respond to the filter, the filtered value matches the canonical SQL result, and reset returns the dashboard to the baseline state.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Before/after screenshots and the two SQL results.</w:t>
      </w:r>
    </w:p>
    <w:p>
      <w:pPr>
        <w:pStyle w:val="Heading2"/>
      </w:pPr>
      <w:r>
        <w:t>TC-07 — Run a basic SQL Lab query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test user has SQL Lab access and the target database is available.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Use a read-only query against &lt;table_or_view&gt;; never use production-changing SQL.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Open SQL Lab and choose the target database and schema.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Run a small read-only query, for example SELECT &lt;dimension&gt;, SUM(&lt;metric_column&gt;) ... GROUP BY &lt;dimension&gt;.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Check the result columns, row count/limit indicator and query status.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Save the query only if the project allows saved SQL or virtual datasets.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query runs successfully, the result is readable, and any row limit or truncation is visible. SQL Lab does not silently imply that a limited result is the full result.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Query text, query status, result label and timestamp. Remove sensitive values before sharing.</w:t>
      </w:r>
    </w:p>
    <w:p>
      <w:pPr>
        <w:pStyle w:val="Heading2"/>
      </w:pPr>
      <w:r>
        <w:t>TC-08 — Export chart or dashboard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saved chart or dashboard exists and export permission is defined.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Expected columns: &lt;column_list&gt;; expected row-count behavior: &lt;full_or_limited&gt;.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Open the test chart or dashboard.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Use the chart menu to export the available data format.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Open the downloaded file and inspect the header and a few rows.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Compare the file columns and row-count behavior with the dashboard/query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Export succeeds when permitted, the file contains the expected columns, and any row limit is consistent with the documented configuration.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File name, file type, row count and a redacted sample; do not upload sensitive data into the test evidence.</w:t>
      </w:r>
    </w:p>
    <w:p>
      <w:pPr>
        <w:pStyle w:val="Heading2"/>
      </w:pPr>
      <w:r>
        <w:t>TC-09 — Validate role and row-level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 admin/test owner has defined expected access for &lt;restricted_user&gt; and, if applicable, an RLS rule for &lt;tenant_or_region&gt;.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Allowed value: &lt;allowed_scope&gt;; forbidden value: &lt;forbidden_scope&gt;.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Sign in as the restricted test user.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Open the same dashboard and dataset used in TC-05.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Run the chart/query that contains data from both the allowed and forbidden scopes.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Try to open a page or dataset that the role should not access.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Compare the visible rows with the expected access matrix.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user can see only the approved dashboard/data scope. Forbidden rows or objects are not exposed. If RLS or the role is not configured, mark Blocked rather than treating the result as Pass.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User/role name, expected access matrix, redacted result and any access-denied message.</w:t>
      </w:r>
    </w:p>
    <w:p>
      <w:pPr>
        <w:pStyle w:val="Heading2"/>
      </w:pPr>
      <w:r>
        <w:t>TC-10 — Observe performance, cache and long-query behavior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performance threshold is agreed, for example p95 dashboard load &lt;= &lt;target_seconds&gt;. Async query/caching may be optional.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Dashboard: &lt;test_dashboard_name&gt;; long query: &lt;query_or_saved_chart&gt;.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Open the dashboard twice and record the load time for each run.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Run the known longer query or chart and record whether it completes synchronously, asynchronously or times out.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If cache is enabled, repeat the test within the cache TTL and record the observed behavior.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Compare the result and timing with the agreed threshold.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dashboard meets the agreed threshold or the deviation is documented. A long query either completes through the configured async path or is clearly recorded as a timeout/blocked capability; no silent data loss is accepted.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Start/end timestamps, query status, response time and cache/async configuration reference.</w:t>
      </w:r>
    </w:p>
    <w:p>
      <w:pPr>
        <w:pStyle w:val="Heading2"/>
      </w:pPr>
      <w:r>
        <w:t>TC-11 — Trigger an alert or scheduled report (optional)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Alerts/reports are enabled and the worker, scheduler, notification channel and headless browser are configured.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condition: &lt;simple_condition&gt;; recipient/channel: &lt;test_recipient&gt;.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Create or select a test SQL condition or report schedule with a safe, predictable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Send the test alert/report to a test recipient or channel.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Wait for the configured schedule or run the test according to the operating procedure.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Check the notification content, timestamp and link back to the chart/dashboard.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alert/report is delivered with the expected chart or condition result. If the feature is not enabled, mark Blocked and record the missing configuration; do not mark Fail for an unrequested optional feature.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Notification timestamp, redacted message and job status.</w:t>
      </w:r>
    </w:p>
    <w:p>
      <w:pPr>
        <w:pStyle w:val="Heading2"/>
      </w:pPr>
      <w:r>
        <w:t>TC-12 — Reconcile one KPI with the canonical source query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project has a canonical SQL query or approved source-of-truth number for one KPI.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KPI: &lt;kpi_name&gt;; grain: &lt;grain&gt;; time boundary: &lt;time_boundary&gt;; tolerance: &lt;tolerance&gt;.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Run the canonical SQL directly in the source database.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Run the equivalent chart/query in Superset using the same period, filters and access scope.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Compare the value, row grain, date boundary and sample record.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Repeat after a refresh or cache expiry if freshness is part of the requirement.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Record any difference as a defect or an approved definition difference; do not fix it by changing the chart silently.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Superset matches the canonical source within the agreed tolerance and freshness window. Any difference has a documented cause, owner and resolution status.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Canonical SQL/result, Superset result, timestamp, filters and reconciliation status.</w:t>
      </w:r>
    </w:p>
    <w:p>
      <w:pPr>
        <w:pStyle w:val="Heading2"/>
      </w:pPr>
      <w:r>
        <w:t>TC-13 — Validate PDF export layout and readability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saved dashboard/chart is available, PDF export is permitted and the expected report page format is agreed.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Dashboard: &lt;test_dashboard_name&gt;; expected format: &lt;A4_or_letter&gt;; orientation: &lt;portrait_or_landscape&gt;; zoom check: 100%.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Open the test dashboard in the browser and record the visible layout, title, chart size and label readability.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Export the dashboard or chart to PDF using the available export/report action.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Open the exported PDF and inspect every page at 100% zoom.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Check page size/orientation, chart scale, title, legends, labels, clipping, whitespace and multi-page order.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Compare the PDF with the browser view and record any layout difference that affects business readability.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PDF opens successfully and meets the agreed page format. Charts, titles, legends and labels are readable, not clipped, and placed with acceptable whitespace. A PDF with a small chart at the top of an otherwise empty A4 page is a Fail for presentation use, even when the underlying data is correct.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Browser screenshot, exported PDF file name, page count, page-size/orientation result, screenshots of representative pages and final Pass/Fail rationale.</w:t>
      </w:r>
    </w:p>
    <w:p>
      <w:pPr>
        <w:pStyle w:val="Heading2"/>
      </w:pPr>
      <w:r>
        <w:t>TC-14 — Validate bubble chart clipping and overlap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saved bubble/scatter chart is available with at least two groups and a documented X axis, Y axis and bubble-size metric.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Chart: &lt;bubble_chart_name&gt;; X: &lt;x_column&gt;; Y: &lt;y_column&gt;; size: &lt;size_metric&gt;; color/group: &lt;group_column&gt;.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Open the saved bubble chart and record the X/Y axis ranges and the meaning of bubble size and color.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Run a source SQL check for MIN, MAX and distinct values of the X and Y fields using the same filters.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Check whether any point is exactly at the minimum or maximum axis boundary, especially x = 1 or another normalized maximum.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Inspect the chart for bubbles clipped by the plot border, hidden behind another bubble or too large to distinguish groups.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Hover each group and use the legend/filter controls to confirm that every expected group can be located and identified.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24"/>
        </w:numPr>
      </w:pPr>
      <w:r>
        <w:t>If the chart supports it, add axis padding or reduce the maximum bubble size and rerun the visual check.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No bubble is clipped by the plot boundary. Groups with the same or nearby coordinates remain distinguishable, the axis range is meaningful, and the visual values match the source SQL. A large bubble at the maximum x boundary, such as FEMALE at x = 1 in the observed screenshot, is a Fail until padding, scale or chart design is corrected.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Chart screenshot, X/Y MIN/MAX and distinct-count SQL result, chart settings, tooltip/legend evidence and final Pass/Fail rationale.</w:t>
      </w:r>
    </w:p>
    <w:p>
      <w:pPr>
        <w:pStyle w:val="Heading2"/>
      </w:pPr>
      <w:r>
        <w:t>TC-15 — Validate semantic-layer and ad-hoc calculation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metric catalog or approved metric definition is available, and the test dataset has a documented grain.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Metric: &lt;metric_name&gt;; grain: &lt;grain&gt;; numerator/denominator: &lt;definition&gt;; expected value: &lt;value&gt;.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5"/>
        </w:numPr>
      </w:pPr>
      <w:r>
        <w:t>Open the dataset and inspect the documented grain, dimensions, temporal field and metric metadata.</w:t>
      </w:r>
    </w:p>
    <w:p>
      <w:pPr>
        <w:pStyle w:val="BodyText"/>
        <w:spacing w:after="80" w:line="300" w:lineRule="auto"/>
        <w:ind w:left="540" w:hanging="271"/>
        <w:numPr>
          <w:ilvl w:val="0"/>
          <w:numId w:val="25"/>
        </w:numPr>
      </w:pPr>
      <w:r>
        <w:t>Run the metric in Explore and compare it with the canonical SQL at the same grain and filter scope.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5"/>
        </w:numPr>
      </w:pPr>
      <w:r>
        <w:t>Create or inspect one calculated column and confirm that it is row-level logic, not an aggregation hidden in the wrong layer.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5"/>
        </w:numPr>
      </w:pPr>
      <w:r>
        <w:t>Try the required ad-hoc dimension or ratio calculation and record whether it can be expressed safely in the native controls.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5"/>
        </w:numPr>
      </w:pPr>
      <w:r>
        <w:t>If the logic needs a join, relationship or reusable model, record it as a pre-modeling or virtual-dataset requirement instead of duplicating it in each chart.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metric definition, grain, numerator/denominator and filter scope are explicit. Simple calculations work as expected; complex modeling needs are identified and assigned to SQL Lab, a virtual dataset or the upstream data layer.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Metric definition, dataset metadata, canonical SQL/result, Explore result and any pre-modeling gap.</w:t>
      </w:r>
    </w:p>
    <w:p>
      <w:pPr>
        <w:pStyle w:val="Heading2"/>
      </w:pPr>
      <w:r>
        <w:t>TC-16 — Validate governance, RLS and advanced interaction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At least an admin, an allowed user and a restricted user are available; a chart with a shared filter dimension is saved.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Roles/users: &lt;admin&gt;, &lt;allowed_user&gt;, &lt;restricted_user&gt;; RLS rule: &lt;rule&gt;; shared dimension: &lt;dimension&gt;.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6"/>
        </w:numPr>
      </w:pPr>
      <w:r>
        <w:t>Open the chart or dashboard as the allowed user and record the visible objects and rows.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6"/>
        </w:numPr>
      </w:pPr>
      <w:r>
        <w:t>Open the same content as the restricted user and verify that forbidden objects and rows are not visible.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6"/>
        </w:numPr>
      </w:pPr>
      <w:r>
        <w:t>Apply a native filter or cross-filter from the shared dimension and record which charts respond.</w:t>
      </w:r>
    </w:p>
    <w:p>
      <w:pPr>
        <w:pStyle w:val="BodyText"/>
        <w:spacing w:after="80" w:line="300" w:lineRule="auto"/>
        <w:ind w:left="540" w:hanging="271"/>
        <w:numPr>
          <w:ilvl w:val="0"/>
          <w:numId w:val="26"/>
        </w:numPr>
      </w:pPr>
      <w:r>
        <w:t>Try the available drill or detail action and verify the destination, filter carry-over and allowed column set.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6"/>
        </w:numPr>
      </w:pPr>
      <w:r>
        <w:t>Check whether the requested what-if parameter, personal bookmark/My View, AI/NLQ or dynamic entitlement behavior is actually available; mark unsupported items as a documented gap, not as a silent workaround.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RLS and object permissions enforce the intended access boundary. Cross-filter and drill work only within the proven chart/dataset scope. Missing first-class behavior is explicitly recorded with an owner and workaround or spike.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Role matrix, screenshots for each persona, RLS result, cross-filter/drill behavior and gap log.</w:t>
      </w:r>
    </w:p>
    <w:p>
      <w:pPr>
        <w:pStyle w:val="Heading2"/>
      </w:pPr>
      <w:r>
        <w:t>TC-17 — Validate dashboard layout, responsive behavior and distribution outputs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representative dashboard contains KPI, table and chart tiles and has an agreed desktop, mobile and export format.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Dashboard: &lt;dashboard_name&gt;; desktop width: &lt;width&gt;; mobile device/width: &lt;device&gt;; export format: &lt;format&gt;.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7"/>
        </w:numPr>
      </w:pPr>
      <w:r>
        <w:t>Open the dashboard in the agreed desktop viewport and record grid alignment, spacing, labels and any intended overlay.</w:t>
      </w:r>
    </w:p>
    <w:p>
      <w:pPr>
        <w:pStyle w:val="BodyText"/>
        <w:spacing w:after="80" w:line="300" w:lineRule="auto"/>
        <w:ind w:left="540" w:hanging="271"/>
        <w:numPr>
          <w:ilvl w:val="0"/>
          <w:numId w:val="27"/>
        </w:numPr>
      </w:pPr>
      <w:r>
        <w:t>Resize the dashboard or open it at the agreed mobile width and inspect filters, tables, labels and chart readability.</w:t>
      </w:r>
    </w:p>
    <w:p>
      <w:pPr>
        <w:pStyle w:val="BodyText"/>
        <w:spacing w:after="80" w:line="300" w:lineRule="auto"/>
        <w:ind w:left="540" w:hanging="271"/>
        <w:numPr>
          <w:ilvl w:val="0"/>
          <w:numId w:val="27"/>
        </w:numPr>
      </w:pPr>
      <w:r>
        <w:t>Check whether the requested free-form canvas, deep CSS customization or in-plot overlay is supported by the selected chart/dashboard design.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7"/>
        </w:numPr>
      </w:pPr>
      <w:r>
        <w:t>Export or print the dashboard and inspect page size, orientation, scaling, whitespace, chart order and clipping.</w:t>
      </w:r>
    </w:p>
    <w:p>
      <w:pPr>
        <w:pStyle w:val="BodyText"/>
        <w:spacing w:after="80" w:line="300" w:lineRule="auto"/>
        <w:ind w:left="540" w:hanging="271"/>
        <w:numPr>
          <w:ilvl w:val="0"/>
          <w:numId w:val="27"/>
        </w:numPr>
      </w:pPr>
      <w:r>
        <w:t>Record each difference between browser, mobile and export as Pass, Fail or an approved presentation limitation.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dashboard remains readable within the grid and agreed responsive footprint. Unsupported free-form or overlay requirements are identified before build. Export/print output meets the agreed page and readability criteria.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Desktop/mobile screenshots, export file, page-size/orientation result and layout gap list.</w:t>
      </w:r>
    </w:p>
    <w:p>
      <w:pPr>
        <w:pStyle w:val="Heading2"/>
      </w:pPr>
      <w:r>
        <w:t>TC-18 — Validate chart controls, formatting and visualization consistency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representative set of chart plugins is available, including a table, KPI, bar/line and one chart with annotations or small-multiple requirements.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Charts: &lt;chart_list&gt;; approved palette/number format: &lt;standard&gt;; annotation: &lt;annotation_name&gt;.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8"/>
        </w:numPr>
      </w:pPr>
      <w:r>
        <w:t>Open each chart and list the available controls for labels, number format, axis bounds, tooltip, conditional formatting and color.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8"/>
        </w:numPr>
      </w:pPr>
      <w:r>
        <w:t>Change the chart type once and verify that dimensions, metrics, series, labels and filters were preserved or remapped intentionally.</w:t>
      </w:r>
    </w:p>
    <w:p>
      <w:pPr>
        <w:pStyle w:val="BodyText"/>
        <w:spacing w:after="80" w:line="300" w:lineRule="auto"/>
        <w:ind w:left="540" w:hanging="271"/>
        <w:numPr>
          <w:ilvl w:val="0"/>
          <w:numId w:val="28"/>
        </w:numPr>
      </w:pPr>
      <w:r>
        <w:t>Try the required conditional formatting, small multiple, annotation and KPI icon/image behavior.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8"/>
        </w:numPr>
      </w:pPr>
      <w:r>
        <w:t>Compare the result with the approved chart standard and record plugin-specific differences.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8"/>
        </w:numPr>
      </w:pPr>
      <w:r>
        <w:t>Check the Superset 6.0 theme/palette and confirm whether it improves consistency without forcing unsupported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Every required formatting behavior is either available and consistent or documented as a plugin limitation. Chart-type changes do not silently change the business meaning. Annotation and KPI presentation gaps have an approved alternative.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Control inventory, before/after screenshots, chart configuration, theme result and limitation log.</w:t>
      </w:r>
    </w:p>
    <w:p>
      <w:pPr>
        <w:pStyle w:val="Heading2"/>
      </w:pPr>
      <w:r>
        <w:t>TC-19 — Validate operational lifecycle and support dependencies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project has an owner for release, alert/report operations and documentation; the target environment has a non-production dashboard.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Release ID: &lt;release_id&gt;; alert/report: &lt;name&gt;; backup/export location: &lt;location&gt;; runbook: &lt;link_or_path&gt;.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9"/>
        </w:numPr>
      </w:pPr>
      <w:r>
        <w:t>Export or version the chart/dashboard definition using the approved project process and record the release identifier.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9"/>
        </w:numPr>
      </w:pPr>
      <w:r>
        <w:t>Change one harmless property, record the review/approval path and restore or re-import the previous version.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9"/>
        </w:numPr>
      </w:pPr>
      <w:r>
        <w:t>Check the available application/database logs and confirm what evidence is retained for the change and access event.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9"/>
        </w:numPr>
      </w:pPr>
      <w:r>
        <w:t>Run one alert/report delivery test and record worker, scheduler, headless-browser and notification dependencies.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9"/>
        </w:numPr>
      </w:pPr>
      <w:r>
        <w:t>Review the relevant official documentation, connector/plugin notes and local runbook; record any missing or inconsistent guidance.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A repeatable release, rollback, audit-evidence and alert/report process exists. Missing native ALM, audit or documentation capabilities are compensated by an owned project process and are not left as tribal knowledge.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Export/version artifact, approval record, restore result, logs/evidence, delivery result and runbook review.</w:t>
      </w:r>
    </w:p>
    <w:p>
      <w:pPr>
        <w:pStyle w:val="Heading1"/>
      </w:pPr>
      <w:r>
        <w:t>6. Final acceptance</w:t>
      </w:r>
    </w:p>
    <w:p>
      <w:pPr>
        <w:pStyle w:val="Lead"/>
      </w:pPr>
      <w:r>
        <w:t>The basic test set is ready for sign-off when all P0 cases pass, every P1 result is either pass or has an approved exception, no forbidden data is visible, and every KPI difference has a documented explanation.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All P0 cases are Pass.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All Fail/Blocked cases have an owner and next action.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Canonical SQL and Superset values are attached for the key KPIs.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Access-control evidence shows that forbidden rows/objects are not exposed.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Known limits such as row limit, timeout, cache freshness and optional features are documented.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Bubble/scatter charts have no clipping or unexplained overlap, and their axis/size behavior is reconciled with source SQL.</w:t>
      </w:r>
    </w:p>
    <w:p>
      <w:pPr>
        <w:pStyle w:val="BodyText"/>
        <w:spacing w:after="80" w:line="300" w:lineRule="auto"/>
        <w:ind w:left="540" w:hanging="271"/>
        <w:numPr>
          <w:ilvl w:val="0"/>
          <w:numId w:val="30"/>
        </w:numPr>
      </w:pPr>
      <w:r>
        <w:t>The reference checklist gaps for semantic modeling, governance/interaction, layout/export, chart controls and operational lifecycle have a Pass, Blocked or approved exception.</w:t>
      </w:r>
    </w:p>
    <w:p>
      <w:pPr>
        <w:pStyle w:val="Heading1"/>
      </w:pPr>
      <w:r>
        <w:t>7. References</w:t>
      </w:r>
    </w:p>
    <w:p>
      <w:pPr>
        <w:pStyle w:val="BodyText"/>
      </w:pPr>
      <w:r>
        <w:t>Use the official documentation below as the reference for expected product behavior. Test results still depend on the actual deployment, permissions, database and enabled features.</w:t>
      </w:r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[1] </w:t>
      </w:r>
      <w:hyperlink r:id="rId11">
        <w:r>
          <w:rPr>
            <w:rStyle w:val="Hyperlink"/>
            <w:color w:val="0563C1"/>
            <w:u w:val="single"/>
          </w:rPr>
          <w:t>Apache Superset 6.0.0 — Introduction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[2] </w:t>
      </w:r>
      <w:hyperlink r:id="rId12">
        <w:r>
          <w:rPr>
            <w:rStyle w:val="Hyperlink"/>
            <w:color w:val="0563C1"/>
            <w:u w:val="single"/>
          </w:rPr>
          <w:t>Apache Superset 6.0.0 — Creating your first dashboard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[3] </w:t>
      </w:r>
      <w:hyperlink r:id="rId13">
        <w:r>
          <w:rPr>
            <w:rStyle w:val="Hyperlink"/>
            <w:color w:val="0563C1"/>
            <w:u w:val="single"/>
          </w:rPr>
          <w:t>Apache Superset 6.0.0 — Exploring data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[4] </w:t>
      </w:r>
      <w:hyperlink r:id="rId14">
        <w:r>
          <w:rPr>
            <w:rStyle w:val="Hyperlink"/>
            <w:color w:val="0563C1"/>
            <w:u w:val="single"/>
          </w:rPr>
          <w:t>Apache Superset 6.0.0 — Architecture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[5] </w:t>
      </w:r>
      <w:hyperlink r:id="rId15">
        <w:r>
          <w:rPr>
            <w:rStyle w:val="Hyperlink"/>
            <w:color w:val="0563C1"/>
            <w:u w:val="single"/>
          </w:rPr>
          <w:t>Apache Superset 6.0.0 — Async queries via Celery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[6] </w:t>
      </w:r>
      <w:hyperlink r:id="rId16">
        <w:r>
          <w:rPr>
            <w:rStyle w:val="Hyperlink"/>
            <w:color w:val="0563C1"/>
            <w:u w:val="single"/>
          </w:rPr>
          <w:t>Apache Superset 6.0.0 — Alerts and reports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[7] </w:t>
      </w:r>
      <w:hyperlink r:id="rId17">
        <w:r>
          <w:rPr>
            <w:rStyle w:val="Hyperlink"/>
            <w:color w:val="0563C1"/>
            <w:u w:val="single"/>
          </w:rPr>
          <w:t>Apache Superset 6.0.0 — Security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[8] </w:t>
      </w:r>
      <w:hyperlink r:id="rId18">
        <w:r>
          <w:rPr>
            <w:rStyle w:val="Hyperlink"/>
            <w:color w:val="0563C1"/>
            <w:u w:val="single"/>
          </w:rPr>
          <w:t>Apache Superset 6.0.0 — FAQ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[9] </w:t>
      </w:r>
      <w:hyperlink r:id="rId19">
        <w:r>
          <w:rPr>
            <w:rStyle w:val="Hyperlink"/>
            <w:color w:val="0563C1"/>
            <w:u w:val="single"/>
          </w:rPr>
          <w:t>Apache Superset 6.0.0 — Granular export controls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Footer"/>
      <w:jc w:val="right"/>
    </w:pPr>
    <w:r>
      <w:rPr>
        <w:rFonts w:ascii="Calibri" w:hAnsi="Calibri" w:eastAsia="Calibri"/>
        <w:color w:val="5B6776"/>
        <w:sz w:val="17"/>
      </w:rPr>
      <w:t xml:space="preserve">Page </w:t>
    </w:r>
    <w:r>
      <w:rPr>
        <w:rFonts w:ascii="Calibri" w:hAnsi="Calibri" w:eastAsia="Calibri"/>
        <w:color w:val="5B67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Footer"/>
      <w:tabs>
        <w:tab w:pos="9360" w:val="right"/>
      </w:tabs>
    </w:pPr>
    <w:r>
      <w:rPr>
        <w:rFonts w:ascii="Calibri" w:hAnsi="Calibri" w:eastAsia="Calibri"/>
        <w:b/>
        <w:color w:val="5B6776"/>
        <w:sz w:val="17"/>
      </w:rPr>
      <w:t>Superset 6.0 | Basic Test Cases</w:t>
    </w:r>
    <w:r>
      <w:tab/>
    </w:r>
    <w:r>
      <w:rPr>
        <w:rFonts w:ascii="Calibri" w:hAnsi="Calibri" w:eastAsia="Calibri"/>
        <w:color w:val="5B6776"/>
        <w:sz w:val="17"/>
      </w:rPr>
      <w:t>Internal QA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  <w:lvlOverride w:ilvl="0">
      <w:startOverride w:val="1"/>
    </w:lvlOverride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  <w:lvlOverride w:ilvl="0">
      <w:startOverride w:val="1"/>
    </w:lvlOverride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  <w:lvlOverride w:ilvl="0">
      <w:startOverride w:val="1"/>
    </w:lvlOverride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  <w:lvlOverride w:ilvl="0">
      <w:startOverride w:val="1"/>
    </w:lvlOverride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7">
    <w:abstractNumId w:val="16"/>
    <w:lvlOverride w:ilvl="0">
      <w:startOverride w:val="1"/>
    </w:lvlOverride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8">
    <w:abstractNumId w:val="17"/>
    <w:lvlOverride w:ilvl="0">
      <w:startOverride w:val="1"/>
    </w:lvlOverride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9">
    <w:abstractNumId w:val="18"/>
    <w:lvlOverride w:ilvl="0">
      <w:startOverride w:val="1"/>
    </w:lvlOverride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0">
    <w:abstractNumId w:val="19"/>
    <w:lvlOverride w:ilvl="0">
      <w:startOverride w:val="1"/>
    </w:lvlOverride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1">
    <w:abstractNumId w:val="20"/>
    <w:lvlOverride w:ilvl="0">
      <w:startOverride w:val="1"/>
    </w:lvlOverride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2">
    <w:abstractNumId w:val="21"/>
    <w:lvlOverride w:ilvl="0">
      <w:startOverride w:val="1"/>
    </w:lvlOverride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3">
    <w:abstractNumId w:val="22"/>
    <w:lvlOverride w:ilvl="0">
      <w:startOverride w:val="1"/>
    </w:lvlOverride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4">
    <w:abstractNumId w:val="23"/>
    <w:lvlOverride w:ilvl="0">
      <w:startOverride w:val="1"/>
    </w:lvlOverride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5">
    <w:abstractNumId w:val="24"/>
    <w:lvlOverride w:ilvl="0">
      <w:startOverride w:val="1"/>
    </w:lvlOverride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6">
    <w:abstractNumId w:val="25"/>
    <w:lvlOverride w:ilvl="0">
      <w:startOverride w:val="1"/>
    </w:lvlOverride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7">
    <w:abstractNumId w:val="26"/>
    <w:lvlOverride w:ilvl="0">
      <w:startOverride w:val="1"/>
    </w:lvlOverride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8">
    <w:abstractNumId w:val="27"/>
    <w:lvlOverride w:ilvl="0">
      <w:startOverride w:val="1"/>
    </w:lvlOverride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9">
    <w:abstractNumId w:val="28"/>
    <w:lvlOverride w:ilvl="0">
      <w:startOverride w:val="1"/>
    </w:lvlOverride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30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before="0" w:line="300" w:lineRule="auto"/>
    </w:pPr>
    <w:rPr>
      <w:rFonts w:ascii="Calibri" w:hAnsi="Calibri" w:eastAsia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roTitle">
    <w:name w:val="Hero Title"/>
    <w:basedOn w:val="Normal"/>
    <w:pPr>
      <w:keepNext/>
      <w:spacing w:before="0" w:after="160" w:line="252" w:lineRule="auto"/>
    </w:pPr>
    <w:rPr>
      <w:rFonts w:ascii="Calibri" w:hAnsi="Calibri" w:eastAsia="Calibri"/>
      <w:b/>
      <w:color w:val="0B2545"/>
      <w:sz w:val="58"/>
    </w:rPr>
  </w:style>
  <w:style w:type="paragraph" w:customStyle="1" w:styleId="HeroSubtitle">
    <w:name w:val="Hero Subtitle"/>
    <w:basedOn w:val="Normal"/>
    <w:pPr>
      <w:keepNext/>
      <w:spacing w:before="0" w:after="360" w:line="276" w:lineRule="auto"/>
    </w:pPr>
    <w:rPr>
      <w:rFonts w:ascii="Calibri" w:hAnsi="Calibri" w:eastAsia="Calibri"/>
      <w:color w:val="5B6776"/>
      <w:sz w:val="28"/>
    </w:rPr>
  </w:style>
  <w:style w:type="paragraph" w:customStyle="1" w:styleId="Kicker">
    <w:name w:val="Kicker"/>
    <w:basedOn w:val="Normal"/>
    <w:pPr>
      <w:keepNext/>
      <w:spacing w:before="0" w:after="200" w:line="240" w:lineRule="auto"/>
    </w:pPr>
    <w:rPr>
      <w:rFonts w:ascii="Calibri" w:hAnsi="Calibri" w:eastAsia="Calibri"/>
      <w:b/>
      <w:color w:val="7A5A00"/>
      <w:sz w:val="19"/>
    </w:rPr>
  </w:style>
  <w:style w:type="paragraph" w:customStyle="1" w:styleId="Metadata">
    <w:name w:val="Metadata"/>
    <w:basedOn w:val="Normal"/>
    <w:pPr>
      <w:keepNext w:val="0"/>
      <w:spacing w:before="0" w:after="60" w:line="264" w:lineRule="auto"/>
    </w:pPr>
    <w:rPr>
      <w:rFonts w:ascii="Calibri" w:hAnsi="Calibri" w:eastAsia="Calibri"/>
      <w:color w:val="5B6776"/>
      <w:sz w:val="20"/>
    </w:rPr>
  </w:style>
  <w:style w:type="paragraph" w:customStyle="1" w:styleId="Lead">
    <w:name w:val="Lead"/>
    <w:basedOn w:val="Normal"/>
    <w:pPr>
      <w:keepNext w:val="0"/>
      <w:spacing w:before="0" w:after="160" w:line="300" w:lineRule="auto"/>
    </w:pPr>
    <w:rPr>
      <w:rFonts w:ascii="Calibri" w:hAnsi="Calibri" w:eastAsia="Calibri"/>
      <w:color w:val="0B2545"/>
      <w:sz w:val="24"/>
    </w:rPr>
  </w:style>
  <w:style w:type="paragraph" w:customStyle="1" w:styleId="CalloutLabel">
    <w:name w:val="Callout Label"/>
    <w:basedOn w:val="Normal"/>
    <w:pPr>
      <w:keepNext/>
      <w:spacing w:before="0" w:after="60" w:line="264" w:lineRule="auto"/>
    </w:pPr>
    <w:rPr>
      <w:rFonts w:ascii="Calibri" w:hAnsi="Calibri" w:eastAsia="Calibri"/>
      <w:b/>
      <w:color w:val="0B2545"/>
      <w:sz w:val="20"/>
    </w:rPr>
  </w:style>
  <w:style w:type="paragraph" w:customStyle="1" w:styleId="CalloutBody">
    <w:name w:val="Callout Body"/>
    <w:basedOn w:val="Normal"/>
    <w:pPr>
      <w:keepNext w:val="0"/>
      <w:spacing w:before="0" w:after="0" w:line="288" w:lineRule="auto"/>
    </w:pPr>
    <w:rPr>
      <w:rFonts w:ascii="Calibri" w:hAnsi="Calibri" w:eastAsia="Calibri"/>
      <w:color w:val="000000"/>
      <w:sz w:val="21"/>
    </w:rPr>
  </w:style>
  <w:style w:type="paragraph" w:customStyle="1" w:styleId="TableText">
    <w:name w:val="Table Text"/>
    <w:basedOn w:val="Normal"/>
    <w:pPr>
      <w:keepNext w:val="0"/>
      <w:spacing w:before="0" w:after="0" w:line="259" w:lineRule="auto"/>
    </w:pPr>
    <w:rPr>
      <w:rFonts w:ascii="Calibri" w:hAnsi="Calibri" w:eastAsia="Calibri"/>
      <w:color w:val="000000"/>
      <w:sz w:val="18"/>
    </w:rPr>
  </w:style>
  <w:style w:type="paragraph" w:customStyle="1" w:styleId="TableHeader">
    <w:name w:val="Table Header"/>
    <w:basedOn w:val="Normal"/>
    <w:pPr>
      <w:keepNext w:val="0"/>
      <w:spacing w:before="0" w:after="0" w:line="252" w:lineRule="auto"/>
    </w:pPr>
    <w:rPr>
      <w:rFonts w:ascii="Calibri" w:hAnsi="Calibri" w:eastAsia="Calibri"/>
      <w:b/>
      <w:color w:val="0B2545"/>
      <w:sz w:val="18"/>
    </w:rPr>
  </w:style>
  <w:style w:type="paragraph" w:customStyle="1" w:styleId="SourceNote">
    <w:name w:val="Source Note"/>
    <w:basedOn w:val="Normal"/>
    <w:pPr>
      <w:keepNext w:val="0"/>
      <w:spacing w:before="80" w:after="80" w:line="252" w:lineRule="auto"/>
    </w:pPr>
    <w:rPr>
      <w:rFonts w:ascii="Calibri" w:hAnsi="Calibri" w:eastAsia="Calibri"/>
      <w:color w:val="5B6776"/>
      <w:sz w:val="17"/>
    </w:rPr>
  </w:style>
  <w:style w:type="paragraph" w:customStyle="1" w:styleId="FigureCaption">
    <w:name w:val="Figure Caption"/>
    <w:basedOn w:val="Normal"/>
    <w:pPr>
      <w:keepNext w:val="0"/>
      <w:spacing w:before="60" w:after="120" w:line="264" w:lineRule="auto"/>
    </w:pPr>
    <w:rPr>
      <w:rFonts w:ascii="Calibri" w:hAnsi="Calibri" w:eastAsia="Calibri"/>
      <w:i/>
      <w:color w:val="5B6776"/>
      <w:sz w:val="18"/>
    </w:rPr>
  </w:style>
  <w:style w:type="paragraph" w:customStyle="1" w:styleId="QuietFooter">
    <w:name w:val="Quiet Footer"/>
    <w:basedOn w:val="Normal"/>
    <w:pPr>
      <w:keepNext w:val="0"/>
      <w:spacing w:before="0" w:after="0" w:line="240" w:lineRule="auto"/>
    </w:pPr>
    <w:rPr>
      <w:rFonts w:ascii="Calibri" w:hAnsi="Calibri" w:eastAsia="Calibri"/>
      <w:color w:val="5B6776"/>
      <w:sz w:val="17"/>
    </w:rPr>
  </w:style>
  <w:style w:type="paragraph" w:customStyle="1" w:styleId="Navigation">
    <w:name w:val="Navigation"/>
    <w:basedOn w:val="Normal"/>
    <w:pPr>
      <w:keepNext w:val="0"/>
      <w:spacing w:before="0" w:after="80" w:line="276" w:lineRule="auto"/>
    </w:pPr>
    <w:rPr>
      <w:rFonts w:ascii="Calibri" w:hAnsi="Calibri" w:eastAsia="Calibr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erset.apache.org/user-docs/6.0.0/intro/" TargetMode="External"/><Relationship Id="rId12" Type="http://schemas.openxmlformats.org/officeDocument/2006/relationships/hyperlink" Target="https://superset.apache.org/user-docs/6.0.0/using-superset/creating-your-first-dashboard/" TargetMode="External"/><Relationship Id="rId13" Type="http://schemas.openxmlformats.org/officeDocument/2006/relationships/hyperlink" Target="https://superset.apache.org/user-docs/6.0.0/using-superset/exploring-data/" TargetMode="External"/><Relationship Id="rId14" Type="http://schemas.openxmlformats.org/officeDocument/2006/relationships/hyperlink" Target="https://superset.apache.org/user-docs/6.0.0/installation/architecture/" TargetMode="External"/><Relationship Id="rId15" Type="http://schemas.openxmlformats.org/officeDocument/2006/relationships/hyperlink" Target="https://superset.apache.org/user-docs/6.0.0/configuration/async-queries-celery/" TargetMode="External"/><Relationship Id="rId16" Type="http://schemas.openxmlformats.org/officeDocument/2006/relationships/hyperlink" Target="https://superset.apache.org/user-docs/6.0.0/configuration/alerts-reports/" TargetMode="External"/><Relationship Id="rId17" Type="http://schemas.openxmlformats.org/officeDocument/2006/relationships/hyperlink" Target="https://superset.apache.org/user-docs/6.0.0/security/" TargetMode="External"/><Relationship Id="rId18" Type="http://schemas.openxmlformats.org/officeDocument/2006/relationships/hyperlink" Target="https://superset.apache.org/user-docs/6.0.0/faq/" TargetMode="External"/><Relationship Id="rId19" Type="http://schemas.openxmlformats.org/officeDocument/2006/relationships/hyperlink" Target="https://superset.apache.org/user-docs/security/granular-export-contr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Superset 6.0 Basic Test Cases</dc:title>
  <dc:subject>Step-by-step smoke and acceptance checks for Superset capability/limitation claims</dc:subject>
  <dc:creator>BI Enablement</dc:creator>
  <cp:keywords>Superset 6.0, test case, QA, dashboard, ClickHouse,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