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CHÍNH SÁCH BẢO HÀNH &amp; QUY TRÌNH LÀM VIỆC</w:t>
      </w:r>
    </w:p>
    <w:p>
      <w:pPr>
        <w:spacing w:after="300"/>
      </w:pPr>
      <w:r>
        <w:t xml:space="preserve">Áp dụng cho dịch vụ thiết kế website — MIMA, cập nhật 08/2026</w:t>
      </w:r>
    </w:p>
    <w:p>
      <w:pPr>
        <w:pStyle w:val="Heading1"/>
      </w:pPr>
      <w:r>
        <w:t xml:space="preserve">1. Quy trình làm việc</w:t>
      </w:r>
    </w:p>
    <w:p>
      <w:pPr>
        <w:pStyle w:val="ListParagraph"/>
        <w:numPr>
          <w:ilvl w:val="0"/>
          <w:numId w:val="2"/>
        </w:numPr>
      </w:pPr>
      <w:r>
        <w:t xml:space="preserve">Tiếp nhận yêu cầu &amp; khảo sát nhu cầu khách hàng (1-2 ngày)</w:t>
      </w:r>
    </w:p>
    <w:p>
      <w:pPr>
        <w:pStyle w:val="ListParagraph"/>
        <w:numPr>
          <w:ilvl w:val="0"/>
          <w:numId w:val="2"/>
        </w:numPr>
      </w:pPr>
      <w:r>
        <w:t xml:space="preserve">Báo giá &amp; ký hợp đồng, đặt cọc 50% giá trị hợp đồng</w:t>
      </w:r>
    </w:p>
    <w:p>
      <w:pPr>
        <w:pStyle w:val="ListParagraph"/>
        <w:numPr>
          <w:ilvl w:val="0"/>
          <w:numId w:val="2"/>
        </w:numPr>
      </w:pPr>
      <w:r>
        <w:t xml:space="preserve">Thiết kế giao diện (wireframe/mockup), khách duyệt trước khi code</w:t>
      </w:r>
    </w:p>
    <w:p>
      <w:pPr>
        <w:pStyle w:val="ListParagraph"/>
        <w:numPr>
          <w:ilvl w:val="0"/>
          <w:numId w:val="2"/>
        </w:numPr>
      </w:pPr>
      <w:r>
        <w:t xml:space="preserve">Lập trình &amp; tích hợp chức năng theo mockup đã duyệt</w:t>
      </w:r>
    </w:p>
    <w:p>
      <w:pPr>
        <w:pStyle w:val="ListParagraph"/>
        <w:numPr>
          <w:ilvl w:val="0"/>
          <w:numId w:val="2"/>
        </w:numPr>
      </w:pPr>
      <w:r>
        <w:t xml:space="preserve">Khách kiểm tra, phản hồi chỉnh sửa (tối đa 2 vòng chỉnh sửa miễn phí)</w:t>
      </w:r>
    </w:p>
    <w:p>
      <w:pPr>
        <w:pStyle w:val="ListParagraph"/>
        <w:numPr>
          <w:ilvl w:val="0"/>
          <w:numId w:val="2"/>
        </w:numPr>
      </w:pPr>
      <w:r>
        <w:t xml:space="preserve">Nghiệm thu, thanh toán 50% còn lại</w:t>
      </w:r>
    </w:p>
    <w:p>
      <w:pPr>
        <w:pStyle w:val="ListParagraph"/>
        <w:numPr>
          <w:ilvl w:val="0"/>
          <w:numId w:val="2"/>
        </w:numPr>
      </w:pPr>
      <w:r>
        <w:t xml:space="preserve">Bàn giao mã nguồn, hướng dẫn sử dụng, kích hoạt bảo hành</w:t>
      </w:r>
    </w:p>
    <w:p>
      <w:pPr>
        <w:pStyle w:val="Heading1"/>
        <w:spacing w:before="300"/>
      </w:pPr>
      <w:r>
        <w:t xml:space="preserve">2. Chính sách thanh toán</w:t>
      </w:r>
    </w:p>
    <w:p>
      <w:r>
        <w:t xml:space="preserve">Khách hàng thanh toán theo 2 đợt: đặt cọc 50% khi ký hợp đồng, thanh toán 50% còn lại khi nghiệm thu bàn giao. Đối với hợp đồng SEO/quảng cáo, thanh toán theo tháng, trả trước 5 ngày trước khi bắt đầu chu kỳ mới.</w:t>
      </w:r>
    </w:p>
    <w:p>
      <w:pPr>
        <w:pStyle w:val="Heading1"/>
        <w:spacing w:before="300"/>
      </w:pPr>
      <w:r>
        <w:t xml:space="preserve">3. Chính sách bảo hành theo gói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900"/>
        <w:gridCol w:w="2700"/>
      </w:tblGrid>
      <w:tr>
        <w:tc>
          <w:tcPr>
            <w:tcW w:type="dxa" w:w="1800"/>
            <w:shd w:fill="D9E1F2" w:val="clear"/>
          </w:tcPr>
          <w:p>
            <w:r>
              <w:rPr>
                <w:b/>
                <w:bCs/>
              </w:rPr>
              <w:t xml:space="preserve">Gói</w:t>
            </w:r>
          </w:p>
        </w:tc>
        <w:tc>
          <w:tcPr>
            <w:tcW w:type="dxa" w:w="2000"/>
            <w:shd w:fill="D9E1F2" w:val="clear"/>
          </w:tcPr>
          <w:p>
            <w:r>
              <w:rPr>
                <w:b/>
                <w:bCs/>
              </w:rPr>
              <w:t xml:space="preserve">Thời hạn bảo hành</w:t>
            </w:r>
          </w:p>
        </w:tc>
        <w:tc>
          <w:tcPr>
            <w:tcW w:type="dxa" w:w="2900"/>
            <w:shd w:fill="D9E1F2" w:val="clear"/>
          </w:tcPr>
          <w:p>
            <w:r>
              <w:rPr>
                <w:b/>
                <w:bCs/>
              </w:rPr>
              <w:t xml:space="preserve">Phạm vi bảo hành</w:t>
            </w:r>
          </w:p>
        </w:tc>
        <w:tc>
          <w:tcPr>
            <w:tcW w:type="dxa" w:w="2700"/>
            <w:shd w:fill="D9E1F2" w:val="clear"/>
          </w:tcPr>
          <w:p>
            <w:r>
              <w:rPr>
                <w:b/>
                <w:bCs/>
              </w:rPr>
              <w:t xml:space="preserve">Không bảo hành</w:t>
            </w:r>
          </w:p>
        </w:tc>
      </w:tr>
      <w:tr>
        <w:tc>
          <w:tcPr>
            <w:tcW w:type="dxa" w:w="1800"/>
          </w:tcPr>
          <w:p>
            <w:r>
              <w:t xml:space="preserve">Cơ bản</w:t>
            </w:r>
          </w:p>
        </w:tc>
        <w:tc>
          <w:tcPr>
            <w:tcW w:type="dxa" w:w="2000"/>
          </w:tcPr>
          <w:p>
            <w:r>
              <w:t xml:space="preserve">3 tháng</w:t>
            </w:r>
          </w:p>
        </w:tc>
        <w:tc>
          <w:tcPr>
            <w:tcW w:type="dxa" w:w="2900"/>
          </w:tcPr>
          <w:p>
            <w:r>
              <w:t xml:space="preserve">Lỗi kỹ thuật, lỗi hiển thị</w:t>
            </w:r>
          </w:p>
        </w:tc>
        <w:tc>
          <w:tcPr>
            <w:tcW w:type="dxa" w:w="2700"/>
          </w:tcPr>
          <w:p>
            <w:r>
              <w:t xml:space="preserve">Đổi giao diện, thêm tính năng mới</w:t>
            </w:r>
          </w:p>
        </w:tc>
      </w:tr>
      <w:tr>
        <w:tc>
          <w:tcPr>
            <w:tcW w:type="dxa" w:w="1800"/>
          </w:tcPr>
          <w:p>
            <w:r>
              <w:t xml:space="preserve">Tiêu chuẩn</w:t>
            </w:r>
          </w:p>
        </w:tc>
        <w:tc>
          <w:tcPr>
            <w:tcW w:type="dxa" w:w="2000"/>
          </w:tcPr>
          <w:p>
            <w:r>
              <w:t xml:space="preserve">6 tháng</w:t>
            </w:r>
          </w:p>
        </w:tc>
        <w:tc>
          <w:tcPr>
            <w:tcW w:type="dxa" w:w="2900"/>
          </w:tcPr>
          <w:p>
            <w:r>
              <w:t xml:space="preserve">Lỗi kỹ thuật, cập nhật bảo mật</w:t>
            </w:r>
          </w:p>
        </w:tc>
        <w:tc>
          <w:tcPr>
            <w:tcW w:type="dxa" w:w="2700"/>
          </w:tcPr>
          <w:p>
            <w:r>
              <w:t xml:space="preserve">Thay đổi nội dung số lượng lớn</w:t>
            </w:r>
          </w:p>
        </w:tc>
      </w:tr>
      <w:tr>
        <w:tc>
          <w:tcPr>
            <w:tcW w:type="dxa" w:w="1800"/>
          </w:tcPr>
          <w:p>
            <w:r>
              <w:t xml:space="preserve">Cao cấp</w:t>
            </w:r>
          </w:p>
        </w:tc>
        <w:tc>
          <w:tcPr>
            <w:tcW w:type="dxa" w:w="2000"/>
          </w:tcPr>
          <w:p>
            <w:r>
              <w:t xml:space="preserve">12 tháng</w:t>
            </w:r>
          </w:p>
        </w:tc>
        <w:tc>
          <w:tcPr>
            <w:tcW w:type="dxa" w:w="2900"/>
          </w:tcPr>
          <w:p>
            <w:r>
              <w:t xml:space="preserve">Lỗi kỹ thuật, bảo mật, hỗ trợ vận hành</w:t>
            </w:r>
          </w:p>
        </w:tc>
        <w:tc>
          <w:tcPr>
            <w:tcW w:type="dxa" w:w="2700"/>
          </w:tcPr>
          <w:p>
            <w:r>
              <w:t xml:space="preserve">Thiệt hại do bên thứ ba can thiệp trái phép</w:t>
            </w:r>
          </w:p>
        </w:tc>
      </w:tr>
    </w:tbl>
    <w:p>
      <w:pPr>
        <w:pStyle w:val="Heading1"/>
        <w:spacing w:before="300"/>
      </w:pPr>
      <w:r>
        <w:t xml:space="preserve">4. Chính sách hoàn tiền</w:t>
      </w:r>
    </w:p>
    <w:p>
      <w:r>
        <w:t xml:space="preserve">MIMA hoàn 100% tiền đặt cọc nếu huỷ hợp đồng trước khi bắt đầu thiết kế mockup. Sau khi mockup đã được khách duyệt, không hoàn tiền đặt cọc do đã phát sinh chi phí nhân sự. Không áp dụng hoàn tiền cho dịch vụ SEO/quảng cáo đã chạy quá 15 ngày kể từ ngày bắt đầu chu kỳ.</w:t>
      </w:r>
    </w:p>
    <w:p>
      <w:pPr>
        <w:pStyle w:val="Heading1"/>
        <w:spacing w:before="300"/>
      </w:pPr>
      <w:r>
        <w:t xml:space="preserve">5. Trường hợp không được bảo hành</w:t>
      </w:r>
    </w:p>
    <w:p>
      <w:pPr>
        <w:pStyle w:val="ListParagraph"/>
        <w:numPr>
          <w:ilvl w:val="0"/>
          <w:numId w:val="3"/>
        </w:numPr>
      </w:pPr>
      <w:r>
        <w:t xml:space="preserve">Khách hàng tự ý can thiệp mã nguồn hoặc thuê bên thứ ba chỉnh sửa</w:t>
      </w:r>
    </w:p>
    <w:p>
      <w:pPr>
        <w:pStyle w:val="ListParagraph"/>
        <w:numPr>
          <w:ilvl w:val="0"/>
          <w:numId w:val="3"/>
        </w:numPr>
      </w:pPr>
      <w:r>
        <w:t xml:space="preserve">Lỗi phát sinh do hosting/tên miền không phải do MIMA cung cấp</w:t>
      </w:r>
    </w:p>
    <w:p>
      <w:pPr>
        <w:pStyle w:val="ListParagraph"/>
        <w:numPr>
          <w:ilvl w:val="0"/>
          <w:numId w:val="3"/>
        </w:numPr>
      </w:pPr>
      <w:r>
        <w:t xml:space="preserve">Website bị tấn công do khách hàng không cập nhật mật khẩu định kỳ</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2026-09-05T04:46:29.537Z</dcterms:created>
  <dcterms:modified xsi:type="dcterms:W3CDTF">2026-09-05T04:46:29.537Z</dcterms:modified>
</cp:coreProperties>
</file>

<file path=docProps/custom.xml><?xml version="1.0" encoding="utf-8"?>
<Properties xmlns="http://schemas.openxmlformats.org/officeDocument/2006/custom-properties" xmlns:vt="http://schemas.openxmlformats.org/officeDocument/2006/docPropsVTypes"/>
</file>