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Pr="00EF7401" w:rsidRDefault="00EF7401" w:rsidP="00EF7401">
      <w:r>
        <w:t>Mỗi lần select là lên 1 số.</w:t>
      </w:r>
      <w:bookmarkStart w:id="0" w:name="_GoBack"/>
      <w:bookmarkEnd w:id="0"/>
    </w:p>
    <w:sectPr w:rsidR="00EF7401" w:rsidRPr="00EF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6474B"/>
    <w:rsid w:val="001C5153"/>
    <w:rsid w:val="001E0B48"/>
    <w:rsid w:val="00537266"/>
    <w:rsid w:val="00774D12"/>
    <w:rsid w:val="00844576"/>
    <w:rsid w:val="008738FD"/>
    <w:rsid w:val="009D58B1"/>
    <w:rsid w:val="00A43BEF"/>
    <w:rsid w:val="00B32DB0"/>
    <w:rsid w:val="00E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7237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7</cp:revision>
  <dcterms:created xsi:type="dcterms:W3CDTF">2017-10-05T02:51:00Z</dcterms:created>
  <dcterms:modified xsi:type="dcterms:W3CDTF">2017-10-18T04:29:00Z</dcterms:modified>
</cp:coreProperties>
</file>