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r>
        <w:rPr>
          <w:sz w:val="44"/>
        </w:rPr>
        <w:t xml:space="preserve">Έγγραφο απαιτήσεων λογισμικού (SRS)</w:t>
      </w:r>
    </w:p>
    <w:p>
      <w:r>
        <w:rPr>
          <w:sz w:val="28"/>
        </w:rPr>
        <w:t xml:space="preserve">IntelliQ</w:t>
      </w:r>
    </w:p>
    <w:p>
      <w:pPr>
        <w:pStyle w:val="Heading1"/>
      </w:pPr>
      <w:r>
        <w:rPr>
          <w:rFonts w:ascii="Cambria" w:cs="Cambria" w:eastAsia="Cambria" w:hAnsi="Cambria"/>
          <w:sz w:val="28"/>
          <w:color w:val="365f91"/>
          <w:b/>
        </w:rPr>
        <w:t xml:space="preserve">1. Εισαγωγή</w:t>
      </w:r>
    </w:p>
    <w:p>
      <w:pPr>
        <w:pStyle w:val="Heading2"/>
      </w:pPr>
      <w:r>
        <w:rPr>
          <w:rFonts w:ascii="Cambria" w:cs="Cambria" w:eastAsia="Cambria" w:hAnsi="Cambria"/>
          <w:sz w:val="26"/>
          <w:color w:val="4f81bd"/>
          <w:b/>
        </w:rPr>
        <w:t xml:space="preserve">1.1. Εισαγωγή: σκοπός του λογισμικού</w:t>
      </w:r>
    </w:p>
    <w:p>
      <w:r>
        <w:t xml:space="preserve">Το παρόν λογισμικό έχει ως σκοπό τη διαχείριση "έξυπνων ερωτηματολογίων". Ως "έξυπνο", χαρακτηρίζεται ένα ερωτηματολόγιο όταν η κάθε επόμενη ερώτηση και οι απαντήσεις της δύναται να καθορίζεται από την απάντηση της προηγούμενης.</w:t>
      </w:r>
      <w:r>
        <w:t xml:space="preserve">
</w:t>
      </w:r>
    </w:p>
    <w:p>
      <w:r>
        <w:t xml:space="preserve">Χρησιμοποιώντας το παρόν λογισμικό, ένας χρήστης μπορεί να δημιουργεί, διαχειρίζεται, απαντάει τέτοια ερωτηματολόγια, καθώς και να εξάγει τις απαντήσεις που έχουν δοθεί σε αυτά.</w:t>
      </w:r>
    </w:p>
    <w:p>
      <w:pPr>
        <w:pStyle w:val="Heading2"/>
      </w:pPr>
      <w:r>
        <w:rPr>
          <w:rFonts w:ascii="Cambria" w:cs="Cambria" w:eastAsia="Cambria" w:hAnsi="Cambria"/>
          <w:sz w:val="26"/>
          <w:color w:val="4f81bd"/>
          <w:b/>
        </w:rPr>
        <w:t xml:space="preserve">1.2. Διεπαφές (interfaces)</w:t>
      </w:r>
    </w:p>
    <w:p>
      <w:pPr>
        <w:pStyle w:val="Heading3"/>
      </w:pPr>
      <w:r>
        <w:rPr>
          <w:rFonts w:ascii="Cambria" w:cs="Cambria" w:eastAsia="Cambria" w:hAnsi="Cambria"/>
          <w:sz w:val="22"/>
          <w:color w:val="4f81bd"/>
          <w:b/>
        </w:rPr>
        <w:t xml:space="preserve">1.2.1. Διεπαφές με το χρήστη</w:t>
      </w:r>
    </w:p>
    <w:p>
      <w:pPr>
        <w:pStyle w:val="Heading4"/>
      </w:pPr>
      <w:bookmarkStart w:id="0" w:name="YWGudGGGAqACCRlv"/>
      <w:r>
        <w:t>1.2.1.1. Use Case Diagram</w:t>
      </w:r>
      <w:bookmarkEnd w:id="0"/>
    </w:p>
    <w:p>
      <w:pPr>
        <w:keepNext/>
        <w:jc w:val="center"/>
      </w:pPr>
      <w:r>
        <w:drawing>
          <wp:anchor allowOverlap="1" behindDoc="0" distB="0" distL="114300" distR="114300" distT="0" layoutInCell="1" locked="0" relativeHeight="251658240" simplePos="0">
            <wp:simplePos x="0" y="0"/>
            <wp:positionH relativeFrom="column">
              <wp:posOffset>762000</wp:posOffset>
            </wp:positionH>
            <wp:positionV relativeFrom="paragraph">
              <wp:posOffset>3810</wp:posOffset>
            </wp:positionV>
            <wp:extent cx="4394200" cy="4064000"/>
            <wp:effectExtent b="0" l="0" r="0" t="0"/>
            <wp:wrapTopAndBottom/>
            <wp:docPr descr="" id="1" name="Image0.png" title="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</w:pPr>
      <w:r>
        <w:t xml:space="preserve">Ένας Συμμετέχων-σε-έρευνα, έχει τη δυνατότητα να απαντάει σε ερωτηματολόγια χρησιμοποιώντας ως διεπαφή μια δικτυακή Front-end εφαρμογή (η οποία αποτελεί μέρος του λογισμικού μας), μέσα από ένα browser στη συσκευή του και το internet, όπως φαίνεται στα παρακάτω διαγράμματα.</w:t>
      </w:r>
      <w:r>
        <w:t xml:space="preserve">
</w:t>
      </w:r>
    </w:p>
    <w:p>
      <w:pPr>
        <w:numPr>
          <w:ilvl w:val="0"/>
          <w:numId w:val="1"/>
        </w:numPr>
      </w:pPr>
      <w:r>
        <w:t xml:space="preserve">Ένας διαχειριστής, έχει δυνατότητα άμεσης πρόσβασης στο intelliqAPI, μέσω HTTP κλήσεων.</w:t>
      </w:r>
      <w:r>
        <w:t xml:space="preserve">
</w:t>
      </w:r>
    </w:p>
    <w:p>
      <w:pPr>
        <w:pStyle w:val="Heading4"/>
      </w:pPr>
      <w:bookmarkStart w:id="1" w:name="MYD_EKGGAqACEgk_"/>
      <w:r>
        <w:t>1.2.1.2. Component Diagram</w:t>
      </w:r>
      <w:bookmarkEnd w:id="1"/>
    </w:p>
    <w:p>
      <w:pPr>
        <w:keepNext/>
        <w:jc w:val="center"/>
      </w:pPr>
      <w:r>
        <w:drawing>
          <wp:inline distB="0" distL="0" distR="0" distT="0">
            <wp:extent cx="4152899" cy="6908800"/>
            <wp:effectExtent b="0" l="0" r="0" t="0"/>
            <wp:docPr descr="" id="3" name="Image1.png" title="Compon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899" cy="6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4"/>
      </w:pPr>
      <w:bookmarkStart w:id="2" w:name="IYHQcKGGAqACEhF1"/>
      <w:r>
        <w:t>1.2.1.3. Deployment Diagram</w:t>
      </w:r>
      <w:bookmarkEnd w:id="2"/>
    </w:p>
    <w:p>
      <w:pPr>
        <w:keepNext/>
        <w:jc w:val="center"/>
      </w:pPr>
      <w:r>
        <w:drawing>
          <wp:inline distB="0" distL="0" distR="0" distT="0">
            <wp:extent cx="5981700" cy="6413500"/>
            <wp:effectExtent b="0" l="0" r="0" t="0"/>
            <wp:docPr descr="" id="5" name="Image2.png" title="Deploym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Cambria" w:cs="Cambria" w:eastAsia="Cambria" w:hAnsi="Cambria"/>
          <w:sz w:val="28"/>
          <w:color w:val="365f91"/>
          <w:b/>
        </w:rPr>
        <w:t xml:space="preserve">2. Αναφορές - πηγές πληροφοριών</w:t>
      </w:r>
    </w:p>
    <w:p>
      <w:r>
        <w:t xml:space="preserve">N/A</w:t>
      </w:r>
    </w:p>
    <w:p>
      <w:r>
        <w:br w:type="page"/>
      </w:r>
    </w:p>
    <w:p>
      <w:pPr>
        <w:pStyle w:val="Heading1"/>
      </w:pPr>
      <w:r>
        <w:rPr>
          <w:rFonts w:ascii="Cambria" w:cs="Cambria" w:eastAsia="Cambria" w:hAnsi="Cambria"/>
          <w:sz w:val="28"/>
          <w:color w:val="365f91"/>
          <w:b/>
        </w:rPr>
        <w:t xml:space="preserve">3. Προδιαγραφές απαιτήσεων λογισμικού</w:t>
      </w:r>
    </w:p>
    <w:p>
      <w:pPr>
        <w:pStyle w:val="Heading2"/>
      </w:pPr>
      <w:r>
        <w:rPr>
          <w:rFonts w:ascii="Cambria" w:cs="Cambria" w:eastAsia="Cambria" w:hAnsi="Cambria"/>
          <w:sz w:val="26"/>
          <w:color w:val="4f81bd"/>
          <w:b/>
        </w:rPr>
        <w:t xml:space="preserve">3.1. Περιπτώσεις χρήσης</w:t>
      </w:r>
    </w:p>
    <w:p>
      <w:pPr>
        <w:pStyle w:val="Heading3"/>
      </w:pPr>
      <w:r>
        <w:rPr>
          <w:rFonts w:ascii="Cambria" w:cs="Cambria" w:eastAsia="Cambria" w:hAnsi="Cambria"/>
          <w:sz w:val="22"/>
          <w:color w:val="4f81bd"/>
          <w:b/>
        </w:rPr>
        <w:t xml:space="preserve">3.1.1. ΠΕΡΙΠΤΩΣΗ ΧΡΗΣΗΣ 1: Απάντηση ερωτηματολογίου</w:t>
      </w:r>
    </w:p>
    <w:p>
      <w:pPr>
        <w:pStyle w:val="Heading4"/>
      </w:pPr>
      <w:r>
        <w:rPr>
          <w:rFonts w:ascii="Cambria" w:cs="Cambria" w:eastAsia="Cambria" w:hAnsi="Cambria"/>
          <w:sz w:val="22"/>
          <w:color w:val="4f81bd"/>
          <w:b/>
          <w:i/>
        </w:rPr>
        <w:t xml:space="preserve">3.1.1.1. Χρήστες (ρόλοι) που εμπλέκονται</w:t>
      </w:r>
    </w:p>
    <w:p>
      <w:pPr>
        <w:numPr>
          <w:ilvl w:val="0"/>
          <w:numId w:val="2"/>
        </w:numPr>
      </w:pPr>
      <w:r>
        <w:t xml:space="preserve">Συμμετέχων-σε-έρευνα</w:t>
      </w:r>
      <w:r>
        <w:t xml:space="preserve">
</w:t>
      </w:r>
    </w:p>
    <w:p>
      <w:pPr>
        <w:pStyle w:val="Heading4"/>
      </w:pPr>
      <w:r>
        <w:rPr>
          <w:rFonts w:ascii="Cambria" w:cs="Cambria" w:eastAsia="Cambria" w:hAnsi="Cambria"/>
          <w:sz w:val="22"/>
          <w:color w:val="4f81bd"/>
          <w:b/>
          <w:i/>
        </w:rPr>
        <w:t xml:space="preserve">3.1.1.2. Προϋποθέσεις εκτέλεσης</w:t>
      </w:r>
    </w:p>
    <w:p>
      <w:r>
        <w:t xml:space="preserve">Πρόσβαση στο διαδίκτυο</w:t>
      </w:r>
    </w:p>
    <w:p>
      <w:pPr>
        <w:pStyle w:val="Heading4"/>
      </w:pPr>
      <w:r>
        <w:rPr>
          <w:rFonts w:ascii="Cambria" w:cs="Cambria" w:eastAsia="Cambria" w:hAnsi="Cambria"/>
          <w:sz w:val="22"/>
          <w:color w:val="4f81bd"/>
          <w:b/>
          <w:i/>
        </w:rPr>
        <w:t xml:space="preserve">3.1.1.3. Περιβάλλον εκτέλεσης</w:t>
      </w:r>
    </w:p>
    <w:p>
      <w:pPr>
        <w:numPr>
          <w:ilvl w:val="0"/>
          <w:numId w:val="3"/>
        </w:numPr>
      </w:pPr>
      <w:r>
        <w:t xml:space="preserve">Web server (εφαρμογή Front-end)</w:t>
      </w:r>
      <w:r>
        <w:t xml:space="preserve">
</w:t>
      </w:r>
    </w:p>
    <w:p>
      <w:pPr>
        <w:numPr>
          <w:ilvl w:val="0"/>
          <w:numId w:val="3"/>
        </w:numPr>
      </w:pPr>
      <w:r>
        <w:t xml:space="preserve">Application server (Back-end)</w:t>
      </w:r>
      <w:r>
        <w:t xml:space="preserve">
</w:t>
      </w:r>
    </w:p>
    <w:p>
      <w:pPr>
        <w:numPr>
          <w:ilvl w:val="0"/>
          <w:numId w:val="3"/>
        </w:numPr>
      </w:pPr>
      <w:r>
        <w:t xml:space="preserve">Database server (MongoDB)</w:t>
      </w:r>
      <w:r>
        <w:t xml:space="preserve">
</w:t>
      </w:r>
    </w:p>
    <w:p>
      <w:pPr>
        <w:pStyle w:val="Heading4"/>
      </w:pPr>
      <w:r>
        <w:rPr>
          <w:rFonts w:ascii="Cambria" w:cs="Cambria" w:eastAsia="Cambria" w:hAnsi="Cambria"/>
          <w:sz w:val="22"/>
          <w:color w:val="4f81bd"/>
          <w:b/>
          <w:i/>
        </w:rPr>
        <w:t xml:space="preserve">3.1.1.4. Δεδομένα εισόδου</w:t>
      </w:r>
    </w:p>
    <w:p>
      <w:pPr>
        <w:numPr>
          <w:ilvl w:val="0"/>
          <w:numId w:val="4"/>
        </w:numPr>
      </w:pPr>
      <w:r>
        <w:t xml:space="preserve">Η ταυτότητα του ερωτηματολογίου προς απάντηση</w:t>
      </w:r>
      <w:r>
        <w:t xml:space="preserve">
</w:t>
      </w:r>
    </w:p>
    <w:p>
      <w:pPr>
        <w:numPr>
          <w:ilvl w:val="0"/>
          <w:numId w:val="4"/>
        </w:numPr>
      </w:pPr>
      <w:r>
        <w:t xml:space="preserve">Μία λίστα από απαντήσεις στις ερωτήσεις του ερωτηματολογίου. Οι απαντήσεις πρέπει να είναι έγκυρες σύμφωνα με τη λογική του αντίστοιχου ερωτηματολογίου</w:t>
      </w:r>
      <w:r>
        <w:t xml:space="preserve">
</w:t>
      </w:r>
    </w:p>
    <w:p>
      <w:pPr>
        <w:pStyle w:val="Heading4"/>
      </w:pPr>
      <w:r>
        <w:rPr>
          <w:rFonts w:ascii="Cambria" w:cs="Cambria" w:eastAsia="Cambria" w:hAnsi="Cambria"/>
          <w:sz w:val="22"/>
          <w:color w:val="4f81bd"/>
          <w:b/>
          <w:i/>
        </w:rPr>
        <w:t xml:space="preserve">3.1.1.5. Αλληλουχία ενεργειών - επιθυμητή συμπεριφορά</w:t>
      </w:r>
    </w:p>
    <w:p>
      <w:r>
        <w:t xml:space="preserve">
</w:t>
      </w:r>
    </w:p>
    <w:p>
      <w:pPr>
        <w:numPr>
          <w:ilvl w:val="0"/>
          <w:numId w:val="5"/>
        </w:numPr>
      </w:pPr>
      <w:r>
        <w:t xml:space="preserve">Είσοδος στη διαδικτυακή εφαρμογή</w:t>
      </w:r>
      <w:r>
        <w:t xml:space="preserve">
</w:t>
      </w:r>
    </w:p>
    <w:p>
      <w:pPr>
        <w:numPr>
          <w:ilvl w:val="0"/>
          <w:numId w:val="5"/>
        </w:numPr>
      </w:pPr>
      <w:r>
        <w:t xml:space="preserve">Επιλογή του ερωτηματολογίου από λίστα ερωτηματολογίων</w:t>
      </w:r>
      <w:r>
        <w:t xml:space="preserve">
</w:t>
      </w:r>
    </w:p>
    <w:p>
      <w:pPr>
        <w:numPr>
          <w:ilvl w:val="0"/>
          <w:numId w:val="5"/>
        </w:numPr>
      </w:pPr>
      <w:r>
        <w:t xml:space="preserve">Εκκίνηση απάντησης του ερωτηματολογίου</w:t>
      </w:r>
      <w:r>
        <w:t xml:space="preserve">
</w:t>
      </w:r>
    </w:p>
    <w:p>
      <w:pPr>
        <w:numPr>
          <w:ilvl w:val="0"/>
          <w:numId w:val="5"/>
        </w:numPr>
      </w:pPr>
      <w:r>
        <w:t xml:space="preserve">Μέχρι τέλους των ερωτήσεων:</w:t>
      </w:r>
      <w:r>
        <w:t xml:space="preserve">
</w:t>
      </w:r>
    </w:p>
    <w:p>
      <w:pPr>
        <w:ind w:left="720"/>
      </w:pPr>
      <w:r>
        <w:t xml:space="preserve">Απάντηση ερωτήσεων μία-μία.</w:t>
      </w:r>
      <w:r>
        <w:t xml:space="preserve">
</w:t>
      </w:r>
    </w:p>
    <w:p>
      <w:pPr>
        <w:ind w:left="720"/>
      </w:pPr>
      <w:r>
        <w:t xml:space="preserve">Εάν η ερώτηση δεν είναι υποχρεωτική, ο χρήστης μπορεί εναλλακτικά να την προσπεράσει.</w:t>
      </w:r>
      <w:r>
        <w:t xml:space="preserve">
</w:t>
      </w:r>
    </w:p>
    <w:p>
      <w:pPr>
        <w:ind w:left="720"/>
      </w:pPr>
      <w:r>
        <w:t xml:space="preserve">Σε οποιαδήποτε στιγμή, ο χρήστης μπορεί να επανεκκινήσει τη διαδικασία, διαγράφοντας έτσι τις απαντήσεις του και επιστρέφοντας στο βήμα 3.</w:t>
      </w:r>
      <w:r>
        <w:t xml:space="preserve">
</w:t>
      </w:r>
    </w:p>
    <w:p>
      <w:pPr>
        <w:numPr>
          <w:ilvl w:val="0"/>
          <w:numId w:val="5"/>
        </w:numPr>
      </w:pPr>
      <w:r>
        <w:t xml:space="preserve">Στο τέλος του ερωτηματολογίου, εμφανίζονται οι (απαντημένες) ερωτήσεις και οι απαντήσεις τους, όπως δόθηκαν από το χρήστη.</w:t>
      </w:r>
      <w:r>
        <w:t xml:space="preserve">
</w:t>
      </w:r>
    </w:p>
    <w:p>
      <w:pPr>
        <w:ind w:left="720"/>
      </w:pPr>
      <w:r>
        <w:t xml:space="preserve">Σε αυτό το σημείο, ο χρήστης έχει τη δυνατότητα να επανεκκινήσει το ερωτηματολόγιο, διαγράφοντας τις απαντήσεις του, και επιστρέφοντας στο βήμα 3.</w:t>
      </w:r>
      <w:r>
        <w:t xml:space="preserve">
</w:t>
      </w:r>
    </w:p>
    <w:p>
      <w:pPr>
        <w:ind w:left="720"/>
      </w:pPr>
      <w:r>
        <w:t xml:space="preserve">Εναλλακτικά, μπορεί να επιβεβαιώσει τις απαντήσεις του, οπότε προχωράμε στο βήμα 6.</w:t>
      </w:r>
      <w:r>
        <w:t xml:space="preserve">
</w:t>
      </w:r>
    </w:p>
    <w:p>
      <w:pPr>
        <w:numPr>
          <w:ilvl w:val="0"/>
          <w:numId w:val="5"/>
        </w:numPr>
      </w:pPr>
      <w:r>
        <w:t xml:space="preserve">Υποβολή των απαντήσεων στο server</w:t>
      </w:r>
      <w:r>
        <w:t xml:space="preserve">
</w:t>
      </w:r>
    </w:p>
    <w:p>
      <w:pPr>
        <w:numPr>
          <w:ilvl w:val="0"/>
          <w:numId w:val="5"/>
        </w:numPr>
      </w:pPr>
      <w:r>
        <w:t xml:space="preserve">Επαλήθευση εγκυρότητας των απαντήσεων από το λογισμικό</w:t>
      </w:r>
      <w:r>
        <w:t xml:space="preserve">
</w:t>
      </w:r>
    </w:p>
    <w:p>
      <w:pPr>
        <w:numPr>
          <w:ilvl w:val="0"/>
          <w:numId w:val="5"/>
        </w:numPr>
      </w:pPr>
      <w:r>
        <w:t xml:space="preserve">Αποθήκευση των απαντήσεων στη βάση</w:t>
      </w:r>
      <w:r>
        <w:t xml:space="preserve">
</w:t>
      </w:r>
    </w:p>
    <w:p>
      <w:pPr>
        <w:pStyle w:val="Heading5"/>
      </w:pPr>
      <w:bookmarkStart w:id="3" w:name="1D6McKGGAqACEhRw"/>
      <w:r>
        <w:t>Answer questionnaire (sequence)</w:t>
      </w:r>
      <w:bookmarkEnd w:id="3"/>
    </w:p>
    <w:p>
      <w:pPr>
        <w:keepNext/>
        <w:jc w:val="center"/>
      </w:pPr>
      <w:r>
        <w:drawing>
          <wp:inline distB="0" distL="0" distR="0" distT="0">
            <wp:extent cx="4114800" cy="8458200"/>
            <wp:effectExtent b="0" l="0" r="0" t="0"/>
            <wp:docPr descr="" id="7" name="Image3.png" title="Answer questionnaire (sequenc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5"/>
      </w:pPr>
      <w:bookmarkStart w:id="4" w:name="kTeZfyGGAqACEgz3"/>
      <w:r>
        <w:t>Answer questionnaire (activity)</w:t>
      </w:r>
      <w:bookmarkEnd w:id="4"/>
    </w:p>
    <w:p>
      <w:pPr>
        <w:keepNext/>
        <w:jc w:val="center"/>
      </w:pPr>
      <w:r>
        <w:drawing>
          <wp:inline distB="0" distL="0" distR="0" distT="0">
            <wp:extent cx="2844800" cy="8458200"/>
            <wp:effectExtent b="0" l="0" r="0" t="0"/>
            <wp:docPr descr="" id="9" name="Image4.png" title="Answer questionnaire (activit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rStyle w:val="Heading4Char"/>
          <w:rFonts w:ascii="Cambria" w:cs="Cambria" w:eastAsia="Cambria" w:hAnsi="Cambria"/>
          <w:sz w:val="22"/>
          <w:color w:val="4f81bd"/>
          <w:b/>
          <w:i/>
        </w:rPr>
        <w:t xml:space="preserve">3.1.1.6. Δεδομένα εξόδου</w:t>
      </w:r>
    </w:p>
    <w:p>
      <w:r>
        <w:t xml:space="preserve">Με την ολοκλήρωση της περίπτωσης χρήσης, αποθηκεύεται ένα σύνολο απαντήσεων στη βάση δεδομένων. Αυτό το σύνολο απαντήσεων αντιστοιχεί σε ένα γεγονός απάντησης ενός ερωτηματολογίου.</w:t>
      </w:r>
    </w:p>
    <w:p>
      <w:pPr>
        <w:pStyle w:val="Heading2"/>
      </w:pPr>
      <w:r>
        <w:rPr>
          <w:rFonts w:ascii="Cambria" w:cs="Cambria" w:eastAsia="Cambria" w:hAnsi="Cambria"/>
          <w:sz w:val="26"/>
          <w:color w:val="4f81bd"/>
          <w:b/>
        </w:rPr>
        <w:t xml:space="preserve">3.2. Απαιτήσεις επιδόσεων</w:t>
      </w:r>
    </w:p>
    <w:p>
      <w:r>
        <w:t xml:space="preserve">Προκειμένου να επιτευχθεί ευχάριστη εμπειρία χρηστών, απαιτείται κάθε επιτυχής HTTP να εξυπηρετείται σε χρόνο μικρότερο των 500 milisecond.</w:t>
      </w:r>
      <w:r>
        <w:t xml:space="preserve">
</w:t>
      </w:r>
    </w:p>
    <w:p>
      <w:r>
        <w:t xml:space="preserve">Επιπλέον, για την αποθήκευση των ερωτηματολογίων και των απαντήσεων, απαιτείται η βάση να έχει συνολικό χώρο, τουλάχιστον 10 Terabyte.</w:t>
      </w:r>
    </w:p>
    <w:p>
      <w:pPr>
        <w:pStyle w:val="Heading2"/>
      </w:pPr>
      <w:r>
        <w:rPr>
          <w:rFonts w:ascii="Cambria" w:cs="Cambria" w:eastAsia="Cambria" w:hAnsi="Cambria"/>
          <w:sz w:val="26"/>
          <w:color w:val="4f81bd"/>
          <w:b/>
        </w:rPr>
        <w:t xml:space="preserve">3.3. Απαιτήσεις οργάνωσης δεδομένων</w:t>
      </w:r>
    </w:p>
    <w:p>
      <w:pPr>
        <w:pStyle w:val="Heading3"/>
      </w:pPr>
      <w:r>
        <w:rPr>
          <w:rFonts w:ascii="Cambria" w:cs="Cambria" w:eastAsia="Cambria" w:hAnsi="Cambria"/>
          <w:sz w:val="22"/>
          <w:color w:val="4f81bd"/>
          <w:b/>
        </w:rPr>
        <w:t xml:space="preserve">3.3.1. Απαιτήσεις και περιορισμοί πρόσβασης σε δεδομένα</w:t>
      </w:r>
    </w:p>
    <w:p>
      <w:r>
        <w:t xml:space="preserve">Στην NoSQL βάση μας, αποθηκεύονται ερωτηματολόγια και απαντήσεις, η μορφή των οποίων φαίνεται στο κάτωθι διάγραμμα</w:t>
      </w:r>
    </w:p>
    <w:p>
      <w:pPr>
        <w:pStyle w:val="Heading4"/>
      </w:pPr>
      <w:bookmarkStart w:id="5" w:name="DrGyfyGGAqACEgka"/>
      <w:r>
        <w:t>3.3.1.1. NoSQL schema</w:t>
      </w:r>
      <w:bookmarkEnd w:id="5"/>
    </w:p>
    <w:p>
      <w:pPr>
        <w:keepNext/>
        <w:jc w:val="center"/>
      </w:pPr>
      <w:r>
        <w:drawing>
          <wp:inline distB="0" distL="0" distR="0" distT="0">
            <wp:extent cx="4914900" cy="4876800"/>
            <wp:effectExtent b="0" l="0" r="0" t="0"/>
            <wp:docPr descr="" id="11" name="Image5.png" title="NoSQL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Οποισδήποτε χρήστης έχει δυνατότητα δημιουργίας έγκυρων απαντήσεων μέσω της Front-end εφαρμογής μας.</w:t>
      </w:r>
      <w:r>
        <w:t xml:space="preserve">
</w:t>
      </w:r>
    </w:p>
    <w:p>
      <w:r>
        <w:t xml:space="preserve">Επιπλέον, ένας διαχειριστής έχει τη δυνατότητα ανάγνωσης και διαγραφής ερωτηματολογίων και απαντήσεων, μέσω κατάλληλων κλήσεων στο intelliqAPI</w:t>
      </w:r>
    </w:p>
    <w:p>
      <w:pPr>
        <w:pStyle w:val="Heading2"/>
      </w:pPr>
      <w:r>
        <w:rPr>
          <w:rFonts w:ascii="Cambria" w:cs="Cambria" w:eastAsia="Cambria" w:hAnsi="Cambria"/>
          <w:sz w:val="26"/>
          <w:color w:val="4f81bd"/>
          <w:b/>
        </w:rPr>
        <w:t xml:space="preserve">3.4. Λοιπές απαιτήσεις</w:t>
      </w:r>
    </w:p>
    <w:p>
      <w:pPr>
        <w:pStyle w:val="Heading3"/>
      </w:pPr>
      <w:r>
        <w:rPr>
          <w:rFonts w:ascii="Cambria" w:cs="Cambria" w:eastAsia="Cambria" w:hAnsi="Cambria"/>
          <w:sz w:val="22"/>
          <w:color w:val="4f81bd"/>
          <w:b/>
        </w:rPr>
        <w:t xml:space="preserve">3.4.1. Απαιτήσεις διαθεσιμότητας λογισμικού</w:t>
      </w:r>
    </w:p>
    <w:p>
      <w:r>
        <w:t xml:space="preserve">Για να διασφαλιστεί η ευχάριστη εμπειρία των χρηστών, απαιτείται το λογισμικό να είναι λειτουργικό και διαθέσιμο, τουλάχιστον 22 ώρες κάθε ημέρα.</w:t>
      </w:r>
      <w:r>
        <w:t xml:space="preserve">
</w:t>
      </w:r>
    </w:p>
    <w:p>
      <w:r>
        <w:t xml:space="preserve">Εξαίρεση ως προς το παραπάνω μπορεί να αποτελέσει ένα διάστημα μέχρι 8 ώρες, μία φορά την εβδομάδα.</w:t>
      </w:r>
    </w:p>
    <w:p>
      <w:pPr>
        <w:pStyle w:val="Heading3"/>
      </w:pPr>
      <w:r>
        <w:rPr>
          <w:rFonts w:ascii="Cambria" w:cs="Cambria" w:eastAsia="Cambria" w:hAnsi="Cambria"/>
          <w:sz w:val="22"/>
          <w:color w:val="4f81bd"/>
          <w:b/>
        </w:rPr>
        <w:t xml:space="preserve">3.4.2. Απαιτήσεις ασφαλείας</w:t>
      </w:r>
    </w:p>
    <w:p>
      <w:r>
        <w:t xml:space="preserve">Απαιτείται χρήση HTTPS πρωτοκόλου για όλες τις κλήσεις προς το intelliqAPI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1">
    <w:nsid w:val="1"/>
    <w:multiLevelType w:val="hybridMultilevel"/>
    <w:tmpl w:val="1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2">
    <w:nsid w:val="2"/>
    <w:multiLevelType w:val="hybridMultilevel"/>
    <w:tmpl w:val="2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3">
    <w:nsid w:val="3"/>
    <w:multiLevelType w:val="hybridMultilevel"/>
    <w:tmpl w:val="3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4">
    <w:nsid w:val="4"/>
    <w:multiLevelType w:val="hybridMultilevel"/>
    <w:tmpl w:val="4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Relationship Id="rId13" Target="media/Image2.png" Type="http://schemas.openxmlformats.org/officeDocument/2006/relationships/image"></Relationship><Relationship Id="rId14" Target="media/Image3.png" Type="http://schemas.openxmlformats.org/officeDocument/2006/relationships/image"></Relationship><Relationship Id="rId15" Target="media/Image4.png" Type="http://schemas.openxmlformats.org/officeDocument/2006/relationships/image"></Relationship><Relationship Id="rId16" Target="media/Image5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Έγγραφο απαιτήσεων λογισμικού (SRS)</dc:title>
  <dc:subject>
	</dc:subject>
  <dc:creator>
	</dc:creator>
  <cp:keywords>
	</cp:keywords>
  <dc:description/>
  <cp:lastModifiedBy>
	</cp:lastModifiedBy>
  <cp:revision>1</cp:revision>
  <dcterms:created xsi:type="dcterms:W3CDTF">2023-02-10T20:17:31+02:00</dcterms:created>
  <dcterms:modified xsi:type="dcterms:W3CDTF">2023-02-10T20:17:31+02:00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