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C7BD8" w14:textId="77777777" w:rsidR="008705A7" w:rsidRDefault="008705A7" w:rsidP="008705A7">
      <w:pPr>
        <w:rPr>
          <w:b/>
          <w:bCs/>
          <w:sz w:val="32"/>
          <w:szCs w:val="32"/>
          <w:lang w:val="en-US"/>
        </w:rPr>
      </w:pPr>
      <w:bookmarkStart w:id="0" w:name="_Hlk105157507"/>
      <w:bookmarkStart w:id="1" w:name="_Hlk120869858"/>
      <w:r>
        <w:rPr>
          <w:b/>
          <w:bCs/>
          <w:sz w:val="32"/>
          <w:szCs w:val="32"/>
          <w:lang w:val="en-US"/>
        </w:rPr>
        <w:t xml:space="preserve">A </w:t>
      </w:r>
      <w:proofErr w:type="gramStart"/>
      <w:r>
        <w:rPr>
          <w:b/>
          <w:bCs/>
          <w:sz w:val="32"/>
          <w:szCs w:val="32"/>
          <w:lang w:val="en-US"/>
        </w:rPr>
        <w:t>physiologically-based</w:t>
      </w:r>
      <w:proofErr w:type="gramEnd"/>
      <w:r>
        <w:rPr>
          <w:b/>
          <w:bCs/>
          <w:sz w:val="32"/>
          <w:szCs w:val="32"/>
          <w:lang w:val="en-US"/>
        </w:rPr>
        <w:t xml:space="preserve"> kinetic (PBK) model for work-related diisocyanate exposure: relevance for the design and reporting of biomonitoring studies and opportunities for further improvement </w:t>
      </w:r>
    </w:p>
    <w:bookmarkEnd w:id="0"/>
    <w:p w14:paraId="44D7C6A4" w14:textId="77777777" w:rsidR="008705A7" w:rsidRDefault="008705A7" w:rsidP="008705A7">
      <w:pPr>
        <w:rPr>
          <w:rFonts w:ascii="Times New Roman" w:hAnsi="Times New Roman" w:cs="Times New Roman"/>
          <w:sz w:val="24"/>
          <w:szCs w:val="24"/>
        </w:rPr>
      </w:pPr>
      <w:r w:rsidRPr="00B96012">
        <w:rPr>
          <w:rFonts w:ascii="Times New Roman" w:hAnsi="Times New Roman" w:cs="Times New Roman"/>
          <w:sz w:val="24"/>
          <w:szCs w:val="24"/>
        </w:rPr>
        <w:t>Scholten, B</w:t>
      </w:r>
      <w:r>
        <w:rPr>
          <w:rFonts w:ascii="Times New Roman" w:hAnsi="Times New Roman" w:cs="Times New Roman"/>
          <w:sz w:val="24"/>
          <w:szCs w:val="24"/>
        </w:rPr>
        <w:t>.</w:t>
      </w:r>
      <w:r>
        <w:rPr>
          <w:rFonts w:ascii="Times New Roman" w:hAnsi="Times New Roman" w:cs="Times New Roman"/>
          <w:sz w:val="24"/>
          <w:szCs w:val="24"/>
          <w:vertAlign w:val="superscript"/>
        </w:rPr>
        <w:t>1*</w:t>
      </w:r>
      <w:r w:rsidRPr="00B96012">
        <w:rPr>
          <w:rFonts w:ascii="Times New Roman" w:hAnsi="Times New Roman" w:cs="Times New Roman"/>
          <w:sz w:val="24"/>
          <w:szCs w:val="24"/>
        </w:rPr>
        <w:t>, Westerhout, J.</w:t>
      </w:r>
      <w:r>
        <w:rPr>
          <w:rFonts w:ascii="Times New Roman" w:hAnsi="Times New Roman" w:cs="Times New Roman"/>
          <w:sz w:val="24"/>
          <w:szCs w:val="24"/>
          <w:vertAlign w:val="superscript"/>
        </w:rPr>
        <w:t>1</w:t>
      </w:r>
      <w:r w:rsidRPr="00B96012">
        <w:rPr>
          <w:rFonts w:ascii="Times New Roman" w:hAnsi="Times New Roman" w:cs="Times New Roman"/>
          <w:sz w:val="24"/>
          <w:szCs w:val="24"/>
        </w:rPr>
        <w:t>, Pronk, A.</w:t>
      </w:r>
      <w:r>
        <w:rPr>
          <w:rFonts w:ascii="Times New Roman" w:hAnsi="Times New Roman" w:cs="Times New Roman"/>
          <w:sz w:val="24"/>
          <w:szCs w:val="24"/>
          <w:vertAlign w:val="superscript"/>
        </w:rPr>
        <w:t>1</w:t>
      </w:r>
      <w:r w:rsidRPr="00B96012">
        <w:rPr>
          <w:rFonts w:ascii="Times New Roman" w:hAnsi="Times New Roman" w:cs="Times New Roman"/>
          <w:sz w:val="24"/>
          <w:szCs w:val="24"/>
        </w:rPr>
        <w:t>, Stierum, R.</w:t>
      </w:r>
      <w:r>
        <w:rPr>
          <w:rFonts w:ascii="Times New Roman" w:hAnsi="Times New Roman" w:cs="Times New Roman"/>
          <w:sz w:val="24"/>
          <w:szCs w:val="24"/>
          <w:vertAlign w:val="superscript"/>
        </w:rPr>
        <w:t>1</w:t>
      </w:r>
      <w:r w:rsidRPr="00B96012">
        <w:rPr>
          <w:rFonts w:ascii="Times New Roman" w:hAnsi="Times New Roman" w:cs="Times New Roman"/>
          <w:sz w:val="24"/>
          <w:szCs w:val="24"/>
        </w:rPr>
        <w:t>, Vlaanderen, J.</w:t>
      </w:r>
      <w:r>
        <w:rPr>
          <w:rFonts w:ascii="Times New Roman" w:hAnsi="Times New Roman" w:cs="Times New Roman"/>
          <w:sz w:val="24"/>
          <w:szCs w:val="24"/>
          <w:vertAlign w:val="superscript"/>
        </w:rPr>
        <w:t>2</w:t>
      </w:r>
      <w:r w:rsidRPr="00B96012">
        <w:rPr>
          <w:rFonts w:ascii="Times New Roman" w:hAnsi="Times New Roman" w:cs="Times New Roman"/>
          <w:sz w:val="24"/>
          <w:szCs w:val="24"/>
        </w:rPr>
        <w:t>, Vermeulen, R.</w:t>
      </w:r>
      <w:r>
        <w:rPr>
          <w:rFonts w:ascii="Times New Roman" w:hAnsi="Times New Roman" w:cs="Times New Roman"/>
          <w:sz w:val="24"/>
          <w:szCs w:val="24"/>
          <w:vertAlign w:val="superscript"/>
        </w:rPr>
        <w:t>2</w:t>
      </w:r>
      <w:r w:rsidRPr="00B96012">
        <w:rPr>
          <w:rFonts w:ascii="Times New Roman" w:hAnsi="Times New Roman" w:cs="Times New Roman"/>
          <w:sz w:val="24"/>
          <w:szCs w:val="24"/>
        </w:rPr>
        <w:t>, Jones, K.</w:t>
      </w:r>
      <w:r>
        <w:rPr>
          <w:rFonts w:ascii="Times New Roman" w:hAnsi="Times New Roman" w:cs="Times New Roman"/>
          <w:sz w:val="24"/>
          <w:szCs w:val="24"/>
          <w:vertAlign w:val="superscript"/>
        </w:rPr>
        <w:t>3</w:t>
      </w:r>
      <w:r w:rsidRPr="00B96012">
        <w:rPr>
          <w:rFonts w:ascii="Times New Roman" w:hAnsi="Times New Roman" w:cs="Times New Roman"/>
          <w:sz w:val="24"/>
          <w:szCs w:val="24"/>
        </w:rPr>
        <w:t>, Santonen, T.</w:t>
      </w:r>
      <w:r>
        <w:rPr>
          <w:rFonts w:ascii="Times New Roman" w:hAnsi="Times New Roman" w:cs="Times New Roman"/>
          <w:sz w:val="24"/>
          <w:szCs w:val="24"/>
          <w:vertAlign w:val="superscript"/>
        </w:rPr>
        <w:t>4</w:t>
      </w:r>
      <w:r w:rsidRPr="00B96012">
        <w:rPr>
          <w:rFonts w:ascii="Times New Roman" w:hAnsi="Times New Roman" w:cs="Times New Roman"/>
          <w:sz w:val="24"/>
          <w:szCs w:val="24"/>
        </w:rPr>
        <w:t>, Portengen, L</w:t>
      </w:r>
      <w:r>
        <w:rPr>
          <w:rFonts w:ascii="Times New Roman" w:hAnsi="Times New Roman" w:cs="Times New Roman"/>
          <w:sz w:val="24"/>
          <w:szCs w:val="24"/>
          <w:vertAlign w:val="superscript"/>
        </w:rPr>
        <w:t>2</w:t>
      </w:r>
      <w:r w:rsidRPr="00B96012">
        <w:rPr>
          <w:rFonts w:ascii="Times New Roman" w:hAnsi="Times New Roman" w:cs="Times New Roman"/>
          <w:sz w:val="24"/>
          <w:szCs w:val="24"/>
        </w:rPr>
        <w:t xml:space="preserve">. </w:t>
      </w:r>
    </w:p>
    <w:p w14:paraId="24EC4BC2" w14:textId="77777777" w:rsidR="008705A7" w:rsidRPr="00601232" w:rsidRDefault="008705A7" w:rsidP="008705A7">
      <w:pPr>
        <w:rPr>
          <w:rFonts w:ascii="Times New Roman" w:hAnsi="Times New Roman" w:cs="Times New Roman"/>
          <w:color w:val="000000" w:themeColor="text1"/>
          <w:szCs w:val="24"/>
          <w:lang w:val="en-US"/>
        </w:rPr>
      </w:pPr>
      <w:r w:rsidRPr="00601232">
        <w:rPr>
          <w:rFonts w:ascii="Times New Roman" w:hAnsi="Times New Roman" w:cs="Times New Roman"/>
          <w:color w:val="000000" w:themeColor="text1"/>
          <w:szCs w:val="24"/>
          <w:vertAlign w:val="superscript"/>
          <w:lang w:val="en-US"/>
        </w:rPr>
        <w:t>1</w:t>
      </w:r>
      <w:r w:rsidRPr="00601232">
        <w:rPr>
          <w:rFonts w:ascii="Times New Roman" w:hAnsi="Times New Roman" w:cs="Times New Roman"/>
          <w:color w:val="000000" w:themeColor="text1"/>
          <w:szCs w:val="24"/>
          <w:lang w:val="en-US"/>
        </w:rPr>
        <w:t xml:space="preserve">Risk Assessment for Products in Development, TNO Quality of Life, The Netherlands  </w:t>
      </w:r>
      <w:r>
        <w:rPr>
          <w:rFonts w:ascii="Times New Roman" w:hAnsi="Times New Roman" w:cs="Times New Roman"/>
          <w:color w:val="000000" w:themeColor="text1"/>
          <w:szCs w:val="24"/>
          <w:lang w:val="en-US"/>
        </w:rPr>
        <w:br/>
      </w:r>
      <w:r w:rsidRPr="00601232">
        <w:rPr>
          <w:rFonts w:ascii="Times New Roman" w:hAnsi="Times New Roman" w:cs="Times New Roman"/>
          <w:color w:val="000000" w:themeColor="text1"/>
          <w:szCs w:val="24"/>
          <w:vertAlign w:val="superscript"/>
          <w:lang w:val="en-US"/>
        </w:rPr>
        <w:t>2</w:t>
      </w:r>
      <w:r>
        <w:rPr>
          <w:rFonts w:ascii="Times New Roman" w:hAnsi="Times New Roman" w:cs="Times New Roman"/>
          <w:color w:val="000000" w:themeColor="text1"/>
          <w:szCs w:val="24"/>
          <w:vertAlign w:val="superscript"/>
          <w:lang w:val="en-US"/>
        </w:rPr>
        <w:t xml:space="preserve"> </w:t>
      </w:r>
      <w:r w:rsidRPr="002D7A8A">
        <w:rPr>
          <w:rFonts w:ascii="Times New Roman" w:hAnsi="Times New Roman" w:cs="Times New Roman"/>
          <w:color w:val="000000" w:themeColor="text1"/>
          <w:szCs w:val="24"/>
          <w:lang w:val="en-US"/>
        </w:rPr>
        <w:t xml:space="preserve">Institute for Risk Assessment Sciences, Utrecht University, </w:t>
      </w:r>
      <w:r>
        <w:rPr>
          <w:rFonts w:ascii="Times New Roman" w:hAnsi="Times New Roman" w:cs="Times New Roman"/>
          <w:color w:val="000000" w:themeColor="text1"/>
          <w:szCs w:val="24"/>
          <w:lang w:val="en-US"/>
        </w:rPr>
        <w:t>T</w:t>
      </w:r>
      <w:r w:rsidRPr="002D7A8A">
        <w:rPr>
          <w:rFonts w:ascii="Times New Roman" w:hAnsi="Times New Roman" w:cs="Times New Roman"/>
          <w:color w:val="000000" w:themeColor="text1"/>
          <w:szCs w:val="24"/>
          <w:lang w:val="en-US"/>
        </w:rPr>
        <w:t>he Netherlands.</w:t>
      </w:r>
      <w:r>
        <w:rPr>
          <w:rFonts w:ascii="Times New Roman" w:hAnsi="Times New Roman" w:cs="Times New Roman"/>
          <w:color w:val="000000" w:themeColor="text1"/>
          <w:szCs w:val="24"/>
          <w:lang w:val="en-US"/>
        </w:rPr>
        <w:br/>
      </w:r>
      <w:r w:rsidRPr="00601232">
        <w:rPr>
          <w:rFonts w:ascii="Times New Roman" w:hAnsi="Times New Roman" w:cs="Times New Roman"/>
          <w:color w:val="000000" w:themeColor="text1"/>
          <w:szCs w:val="24"/>
          <w:vertAlign w:val="superscript"/>
          <w:lang w:val="en-US"/>
        </w:rPr>
        <w:t>3</w:t>
      </w:r>
      <w:r w:rsidRPr="00601232">
        <w:rPr>
          <w:rFonts w:ascii="Times New Roman" w:hAnsi="Times New Roman" w:cs="Times New Roman"/>
          <w:color w:val="000000" w:themeColor="text1"/>
          <w:szCs w:val="24"/>
          <w:lang w:val="en-US"/>
        </w:rPr>
        <w:t xml:space="preserve"> Health and Safety Executive (HSE), Harpur Hill, Buxton, UK</w:t>
      </w:r>
      <w:r w:rsidRPr="00601232">
        <w:rPr>
          <w:rFonts w:ascii="Times New Roman" w:hAnsi="Times New Roman" w:cs="Times New Roman"/>
          <w:color w:val="000000" w:themeColor="text1"/>
          <w:szCs w:val="24"/>
          <w:lang w:val="en-US"/>
        </w:rPr>
        <w:br/>
      </w:r>
      <w:r w:rsidRPr="00601232">
        <w:rPr>
          <w:rFonts w:ascii="Times New Roman" w:hAnsi="Times New Roman" w:cs="Times New Roman"/>
          <w:color w:val="000000" w:themeColor="text1"/>
          <w:szCs w:val="24"/>
          <w:vertAlign w:val="superscript"/>
          <w:lang w:val="en-US"/>
        </w:rPr>
        <w:t>4</w:t>
      </w:r>
      <w:r>
        <w:rPr>
          <w:rFonts w:ascii="Times New Roman" w:hAnsi="Times New Roman" w:cs="Times New Roman"/>
          <w:color w:val="000000" w:themeColor="text1"/>
          <w:szCs w:val="24"/>
          <w:vertAlign w:val="superscript"/>
          <w:lang w:val="en-US"/>
        </w:rPr>
        <w:t xml:space="preserve"> </w:t>
      </w:r>
      <w:r w:rsidRPr="00601232">
        <w:rPr>
          <w:rFonts w:ascii="Times New Roman" w:hAnsi="Times New Roman" w:cs="Times New Roman"/>
          <w:color w:val="000000" w:themeColor="text1"/>
          <w:szCs w:val="24"/>
          <w:lang w:val="en-US"/>
        </w:rPr>
        <w:t>Finnish Institute of Occupational Health</w:t>
      </w:r>
      <w:r>
        <w:rPr>
          <w:rFonts w:ascii="Times New Roman" w:hAnsi="Times New Roman" w:cs="Times New Roman"/>
          <w:color w:val="000000" w:themeColor="text1"/>
          <w:szCs w:val="24"/>
          <w:lang w:val="en-US"/>
        </w:rPr>
        <w:t xml:space="preserve"> (FIOH)</w:t>
      </w:r>
      <w:r w:rsidRPr="00601232">
        <w:rPr>
          <w:rFonts w:ascii="Times New Roman" w:hAnsi="Times New Roman" w:cs="Times New Roman"/>
          <w:color w:val="000000" w:themeColor="text1"/>
          <w:szCs w:val="24"/>
          <w:lang w:val="en-US"/>
        </w:rPr>
        <w:t>, Finland</w:t>
      </w:r>
    </w:p>
    <w:p w14:paraId="18232493" w14:textId="77777777" w:rsidR="008705A7" w:rsidRPr="00581330" w:rsidRDefault="008705A7" w:rsidP="008705A7">
      <w:pPr>
        <w:rPr>
          <w:rFonts w:ascii="Times New Roman" w:hAnsi="Times New Roman"/>
          <w:sz w:val="24"/>
          <w:lang w:val="en-US"/>
        </w:rPr>
      </w:pPr>
      <w:r>
        <w:rPr>
          <w:rFonts w:ascii="Times New Roman" w:hAnsi="Times New Roman"/>
          <w:sz w:val="24"/>
          <w:lang w:val="en-US"/>
        </w:rPr>
        <w:t xml:space="preserve">*To whom correspondence should be addressed. Email: bernice.scholten@tno.nl </w:t>
      </w:r>
    </w:p>
    <w:bookmarkEnd w:id="1"/>
    <w:p w14:paraId="17F02E04" w14:textId="77777777" w:rsidR="008705A7" w:rsidRPr="008705A7" w:rsidRDefault="008705A7" w:rsidP="008705A7">
      <w:pPr>
        <w:rPr>
          <w:lang w:val="en-US"/>
        </w:rPr>
      </w:pPr>
    </w:p>
    <w:p w14:paraId="003DA931" w14:textId="77777777" w:rsidR="00954A7B" w:rsidRDefault="00954A7B">
      <w:pPr>
        <w:rPr>
          <w:rFonts w:asciiTheme="majorHAnsi" w:eastAsiaTheme="majorEastAsia" w:hAnsiTheme="majorHAnsi" w:cstheme="majorBidi"/>
          <w:color w:val="2F5496" w:themeColor="accent1" w:themeShade="BF"/>
          <w:sz w:val="32"/>
          <w:szCs w:val="32"/>
          <w:lang w:val="en-US"/>
        </w:rPr>
      </w:pPr>
      <w:r>
        <w:rPr>
          <w:lang w:val="en-US"/>
        </w:rPr>
        <w:br w:type="page"/>
      </w:r>
    </w:p>
    <w:p w14:paraId="178845E0" w14:textId="65D38FB9" w:rsidR="00182B94" w:rsidRDefault="00182B94" w:rsidP="00182B94">
      <w:pPr>
        <w:pStyle w:val="Heading1"/>
        <w:rPr>
          <w:lang w:val="en-US"/>
        </w:rPr>
      </w:pPr>
      <w:r>
        <w:rPr>
          <w:lang w:val="en-US"/>
        </w:rPr>
        <w:lastRenderedPageBreak/>
        <w:t>Appendix A – Description of compartments</w:t>
      </w:r>
    </w:p>
    <w:p w14:paraId="61ED63C9" w14:textId="77777777" w:rsidR="00182B94" w:rsidRDefault="00182B94" w:rsidP="00182B94">
      <w:pPr>
        <w:rPr>
          <w:lang w:val="en-US"/>
        </w:rPr>
      </w:pPr>
    </w:p>
    <w:p w14:paraId="6B1A05CF" w14:textId="77777777" w:rsidR="00182B94" w:rsidRDefault="00182B94" w:rsidP="00182B94">
      <w:pPr>
        <w:pStyle w:val="Heading4"/>
        <w:rPr>
          <w:lang w:val="en-US"/>
        </w:rPr>
      </w:pPr>
      <w:r>
        <w:rPr>
          <w:lang w:val="en-US"/>
        </w:rPr>
        <w:t>General circulation</w:t>
      </w:r>
    </w:p>
    <w:p w14:paraId="605DD6B3" w14:textId="77777777" w:rsidR="00182B94" w:rsidRDefault="00182B94" w:rsidP="00182B94">
      <w:pPr>
        <w:rPr>
          <w:rFonts w:ascii="Times New Roman" w:hAnsi="Times New Roman" w:cs="Times New Roman"/>
          <w:lang w:val="en-US"/>
        </w:rPr>
      </w:pPr>
      <w:r>
        <w:rPr>
          <w:rFonts w:ascii="Times New Roman" w:hAnsi="Times New Roman" w:cs="Times New Roman"/>
          <w:lang w:val="en-US"/>
        </w:rPr>
        <w:t xml:space="preserve">The arterial and venous blood compartments are subdivided into unbound, albumin and macromolecule compartments. Because of the high reactivity of diisocyanates, we assume that no unbound diisocyanates will be available for renal clearance. In addition, we assumed that only the diisocyanates bound to other macromolecules can be excreted into urine, so that albumin-bound diisocyanates only become available for excretion after conjugation (elimination). </w:t>
      </w:r>
    </w:p>
    <w:p w14:paraId="0B027EA7" w14:textId="77777777" w:rsidR="00182B94" w:rsidRDefault="00182B94" w:rsidP="00182B94">
      <w:pPr>
        <w:keepNext/>
        <w:keepLines/>
        <w:rPr>
          <w:rFonts w:ascii="Times New Roman" w:hAnsi="Times New Roman" w:cs="Times New Roman"/>
          <w:lang w:val="en-US"/>
        </w:rPr>
      </w:pPr>
      <w:r w:rsidRPr="00DB0311">
        <w:rPr>
          <w:rFonts w:ascii="Times New Roman" w:hAnsi="Times New Roman" w:cs="Times New Roman"/>
          <w:lang w:val="en-US"/>
        </w:rPr>
        <w:t xml:space="preserve">The </w:t>
      </w:r>
      <w:r>
        <w:rPr>
          <w:rFonts w:ascii="Times New Roman" w:hAnsi="Times New Roman" w:cs="Times New Roman"/>
          <w:lang w:val="en-US"/>
        </w:rPr>
        <w:t>amount of diisocyanates in the different arterial blood sub-compartments is described by the following differential equations (Eq. 1 – 3):</w:t>
      </w:r>
    </w:p>
    <w:p w14:paraId="79C1762D" w14:textId="77777777" w:rsidR="00182B94" w:rsidRPr="000F4575" w:rsidRDefault="00182B94" w:rsidP="00182B94">
      <w:pPr>
        <w:keepNext/>
        <w:keepLines/>
        <w:rPr>
          <w:rFonts w:ascii="Cambria Math" w:hAnsi="Cambria Math" w:cs="Times New Roman"/>
          <w:iCs/>
          <w:sz w:val="20"/>
          <w:szCs w:val="20"/>
          <w:lang w:val="en-US"/>
        </w:rPr>
      </w:pPr>
      <m:oMath>
        <m:r>
          <w:rPr>
            <w:rFonts w:ascii="Cambria Math" w:hAnsi="Cambria Math" w:cs="Times New Roman"/>
            <w:sz w:val="20"/>
            <w:szCs w:val="20"/>
            <w:lang w:val="en-US"/>
          </w:rPr>
          <m:t>dt</m:t>
        </m:r>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art[ub]</m:t>
                </m:r>
              </m:sub>
            </m:sSub>
          </m:e>
        </m:d>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c</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vas[ub]</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art</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ub</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k</m:t>
            </m:r>
          </m:e>
          <m:sub>
            <m:r>
              <w:rPr>
                <w:rFonts w:ascii="Cambria Math" w:hAnsi="Cambria Math" w:cs="Times New Roman"/>
                <w:sz w:val="20"/>
                <w:szCs w:val="20"/>
                <w:lang w:val="en-US"/>
              </w:rPr>
              <m:t>alb</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art</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ub</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k</m:t>
            </m:r>
          </m:e>
          <m:sub>
            <m:r>
              <w:rPr>
                <w:rFonts w:ascii="Cambria Math" w:hAnsi="Cambria Math" w:cs="Times New Roman"/>
                <w:sz w:val="20"/>
                <w:szCs w:val="20"/>
                <w:lang w:val="en-US"/>
              </w:rPr>
              <m:t>mcr</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art[ub]</m:t>
            </m:r>
          </m:sub>
        </m:sSub>
      </m:oMath>
      <w:r>
        <w:rPr>
          <w:rFonts w:ascii="Cambria Math" w:eastAsiaTheme="minorEastAsia" w:hAnsi="Cambria Math" w:cs="Times New Roman"/>
          <w:i/>
          <w:sz w:val="20"/>
          <w:szCs w:val="20"/>
          <w:lang w:val="en-US"/>
        </w:rPr>
        <w:tab/>
      </w:r>
      <w:r>
        <w:rPr>
          <w:rFonts w:ascii="Cambria Math" w:eastAsiaTheme="minorEastAsia" w:hAnsi="Cambria Math" w:cs="Times New Roman"/>
          <w:i/>
          <w:sz w:val="20"/>
          <w:szCs w:val="20"/>
          <w:lang w:val="en-US"/>
        </w:rPr>
        <w:tab/>
      </w:r>
      <w:r>
        <w:rPr>
          <w:rFonts w:ascii="Cambria Math" w:eastAsiaTheme="minorEastAsia" w:hAnsi="Cambria Math" w:cs="Times New Roman"/>
          <w:i/>
          <w:sz w:val="20"/>
          <w:szCs w:val="20"/>
          <w:lang w:val="en-US"/>
        </w:rPr>
        <w:tab/>
      </w:r>
      <w:r>
        <w:rPr>
          <w:rFonts w:ascii="Cambria Math" w:eastAsiaTheme="minorEastAsia" w:hAnsi="Cambria Math" w:cs="Times New Roman"/>
          <w:iCs/>
          <w:sz w:val="20"/>
          <w:szCs w:val="20"/>
          <w:lang w:val="en-US"/>
        </w:rPr>
        <w:t>(Eq. 1)</w:t>
      </w:r>
    </w:p>
    <w:p w14:paraId="0DDF8E51" w14:textId="77777777" w:rsidR="00182B94" w:rsidRPr="000F4575" w:rsidRDefault="00182B94" w:rsidP="00182B94">
      <w:pPr>
        <w:keepNext/>
        <w:keepLines/>
        <w:rPr>
          <w:rFonts w:ascii="Cambria Math" w:hAnsi="Cambria Math" w:cs="Times New Roman"/>
          <w:iCs/>
          <w:sz w:val="20"/>
          <w:szCs w:val="20"/>
          <w:lang w:val="en-US"/>
        </w:rPr>
      </w:pPr>
      <m:oMath>
        <m:r>
          <w:rPr>
            <w:rFonts w:ascii="Cambria Math" w:hAnsi="Cambria Math" w:cs="Times New Roman"/>
            <w:sz w:val="20"/>
            <w:szCs w:val="20"/>
            <w:lang w:val="en-US"/>
          </w:rPr>
          <m:t>dt</m:t>
        </m:r>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art[alb]</m:t>
                </m:r>
              </m:sub>
            </m:sSub>
          </m:e>
        </m:d>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c</m:t>
            </m:r>
          </m:sub>
        </m:sSub>
        <m:r>
          <w:rPr>
            <w:rFonts w:ascii="Cambria Math" w:hAnsi="Cambria Math" w:cs="Times New Roman"/>
            <w:sz w:val="20"/>
            <w:szCs w:val="20"/>
            <w:lang w:val="en-US"/>
          </w:rPr>
          <m:t>*</m:t>
        </m:r>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vas[alb]</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art[alb]</m:t>
                </m:r>
              </m:sub>
            </m:sSub>
          </m:e>
        </m:d>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k</m:t>
            </m:r>
          </m:e>
          <m:sub>
            <m:r>
              <w:rPr>
                <w:rFonts w:ascii="Cambria Math" w:hAnsi="Cambria Math" w:cs="Times New Roman"/>
                <w:sz w:val="20"/>
                <w:szCs w:val="20"/>
                <w:lang w:val="en-US"/>
              </w:rPr>
              <m:t>alb</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art</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ub</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k</m:t>
            </m:r>
          </m:e>
          <m:sub>
            <m:r>
              <w:rPr>
                <w:rFonts w:ascii="Cambria Math" w:hAnsi="Cambria Math" w:cs="Times New Roman"/>
                <w:sz w:val="20"/>
                <w:szCs w:val="20"/>
                <w:lang w:val="en-US"/>
              </w:rPr>
              <m:t>elim</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art[alb]</m:t>
            </m:r>
          </m:sub>
        </m:sSub>
      </m:oMath>
      <w:r>
        <w:rPr>
          <w:rFonts w:ascii="Cambria Math" w:eastAsiaTheme="minorEastAsia" w:hAnsi="Cambria Math" w:cs="Times New Roman"/>
          <w:i/>
          <w:sz w:val="20"/>
          <w:szCs w:val="20"/>
          <w:lang w:val="en-US"/>
        </w:rPr>
        <w:tab/>
      </w:r>
      <w:r>
        <w:rPr>
          <w:rFonts w:ascii="Cambria Math" w:eastAsiaTheme="minorEastAsia" w:hAnsi="Cambria Math" w:cs="Times New Roman"/>
          <w:i/>
          <w:sz w:val="20"/>
          <w:szCs w:val="20"/>
          <w:lang w:val="en-US"/>
        </w:rPr>
        <w:tab/>
      </w:r>
      <w:r>
        <w:rPr>
          <w:rFonts w:ascii="Cambria Math" w:eastAsiaTheme="minorEastAsia" w:hAnsi="Cambria Math" w:cs="Times New Roman"/>
          <w:i/>
          <w:sz w:val="20"/>
          <w:szCs w:val="20"/>
          <w:lang w:val="en-US"/>
        </w:rPr>
        <w:tab/>
      </w:r>
      <w:r>
        <w:rPr>
          <w:rFonts w:ascii="Cambria Math" w:eastAsiaTheme="minorEastAsia" w:hAnsi="Cambria Math" w:cs="Times New Roman"/>
          <w:iCs/>
          <w:sz w:val="20"/>
          <w:szCs w:val="20"/>
          <w:lang w:val="en-US"/>
        </w:rPr>
        <w:t>(Eq. 2)</w:t>
      </w:r>
    </w:p>
    <w:p w14:paraId="5463778A" w14:textId="77777777" w:rsidR="00182B94" w:rsidRPr="00AA48F5" w:rsidRDefault="00182B94" w:rsidP="00182B94">
      <w:pPr>
        <w:keepNext/>
        <w:keepLines/>
        <w:rPr>
          <w:rFonts w:ascii="Cambria Math" w:hAnsi="Cambria Math" w:cs="Times New Roman"/>
          <w:i/>
          <w:sz w:val="20"/>
          <w:szCs w:val="20"/>
          <w:lang w:val="en-US"/>
        </w:rPr>
      </w:pPr>
      <m:oMath>
        <m:r>
          <w:rPr>
            <w:rFonts w:ascii="Cambria Math" w:hAnsi="Cambria Math" w:cs="Times New Roman"/>
            <w:sz w:val="20"/>
            <w:szCs w:val="20"/>
            <w:lang w:val="en-US"/>
          </w:rPr>
          <m:t>dt</m:t>
        </m:r>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art[mcr]</m:t>
                </m:r>
              </m:sub>
            </m:sSub>
          </m:e>
        </m:d>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c</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vas[mcr]</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art[mcr]</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k</m:t>
            </m:r>
          </m:e>
          <m:sub>
            <m:r>
              <w:rPr>
                <w:rFonts w:ascii="Cambria Math" w:hAnsi="Cambria Math" w:cs="Times New Roman"/>
                <w:sz w:val="20"/>
                <w:szCs w:val="20"/>
                <w:lang w:val="en-US"/>
              </w:rPr>
              <m:t>mcr</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art</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ub</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k</m:t>
            </m:r>
          </m:e>
          <m:sub>
            <m:r>
              <w:rPr>
                <w:rFonts w:ascii="Cambria Math" w:hAnsi="Cambria Math" w:cs="Times New Roman"/>
                <w:sz w:val="20"/>
                <w:szCs w:val="20"/>
                <w:lang w:val="en-US"/>
              </w:rPr>
              <m:t>elim</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art[alb]</m:t>
            </m:r>
          </m:sub>
        </m:sSub>
      </m:oMath>
      <w:r>
        <w:rPr>
          <w:rFonts w:ascii="Cambria Math" w:eastAsiaTheme="minorEastAsia" w:hAnsi="Cambria Math" w:cs="Times New Roman"/>
          <w:i/>
          <w:sz w:val="20"/>
          <w:szCs w:val="20"/>
          <w:lang w:val="en-US"/>
        </w:rPr>
        <w:t xml:space="preserve"> </w:t>
      </w:r>
      <w:r>
        <w:rPr>
          <w:rFonts w:ascii="Cambria Math" w:eastAsiaTheme="minorEastAsia" w:hAnsi="Cambria Math" w:cs="Times New Roman"/>
          <w:iCs/>
          <w:sz w:val="20"/>
          <w:szCs w:val="20"/>
          <w:lang w:val="en-US"/>
        </w:rPr>
        <w:t>(Eq. 3)</w:t>
      </w:r>
    </w:p>
    <w:p w14:paraId="06EDD93B" w14:textId="77777777" w:rsidR="00182B94" w:rsidRDefault="00182B94" w:rsidP="00182B94">
      <w:pPr>
        <w:keepNext/>
        <w:keepLines/>
        <w:rPr>
          <w:rFonts w:ascii="Times New Roman" w:hAnsi="Times New Roman" w:cs="Times New Roman"/>
          <w:lang w:val="en-US"/>
        </w:rPr>
      </w:pPr>
      <w:r w:rsidRPr="00DB0311">
        <w:rPr>
          <w:rFonts w:ascii="Times New Roman" w:hAnsi="Times New Roman" w:cs="Times New Roman"/>
          <w:lang w:val="en-US"/>
        </w:rPr>
        <w:t xml:space="preserve">The </w:t>
      </w:r>
      <w:r>
        <w:rPr>
          <w:rFonts w:ascii="Times New Roman" w:hAnsi="Times New Roman" w:cs="Times New Roman"/>
          <w:lang w:val="en-US"/>
        </w:rPr>
        <w:t>amount of diisocyanates in the different venous blood sub-compartments is described by the following differential equations (Eq. 4 – 6):</w:t>
      </w:r>
    </w:p>
    <w:p w14:paraId="6DB355B7" w14:textId="77777777" w:rsidR="00182B94" w:rsidRPr="000F4575" w:rsidRDefault="00182B94" w:rsidP="00182B94">
      <w:pPr>
        <w:rPr>
          <w:rFonts w:ascii="Cambria Math" w:hAnsi="Cambria Math" w:cs="Times New Roman"/>
          <w:iCs/>
          <w:sz w:val="20"/>
          <w:szCs w:val="20"/>
          <w:lang w:val="en-US"/>
        </w:rPr>
      </w:pPr>
      <m:oMath>
        <m:r>
          <w:rPr>
            <w:rFonts w:ascii="Cambria Math" w:hAnsi="Cambria Math" w:cs="Times New Roman"/>
            <w:sz w:val="20"/>
            <w:szCs w:val="20"/>
            <w:lang w:val="en-US"/>
          </w:rPr>
          <m:t>dt</m:t>
        </m:r>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ven[ub]</m:t>
                </m:r>
              </m:sub>
            </m:sSub>
          </m:e>
        </m:d>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skn</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skn</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ub</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c</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skn</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rem</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ub</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c</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ven</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ub</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k</m:t>
            </m:r>
          </m:e>
          <m:sub>
            <m:r>
              <w:rPr>
                <w:rFonts w:ascii="Cambria Math" w:hAnsi="Cambria Math" w:cs="Times New Roman"/>
                <w:sz w:val="20"/>
                <w:szCs w:val="20"/>
                <w:lang w:val="en-US"/>
              </w:rPr>
              <m:t>alb</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ven</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ub</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k</m:t>
            </m:r>
          </m:e>
          <m:sub>
            <m:r>
              <w:rPr>
                <w:rFonts w:ascii="Cambria Math" w:hAnsi="Cambria Math" w:cs="Times New Roman"/>
                <w:sz w:val="20"/>
                <w:szCs w:val="20"/>
                <w:lang w:val="en-US"/>
              </w:rPr>
              <m:t>mcr</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ven[ub]</m:t>
            </m:r>
          </m:sub>
        </m:sSub>
      </m:oMath>
      <w:r>
        <w:rPr>
          <w:rFonts w:ascii="Cambria Math" w:eastAsiaTheme="minorEastAsia" w:hAnsi="Cambria Math" w:cs="Times New Roman"/>
          <w:iCs/>
          <w:sz w:val="20"/>
          <w:szCs w:val="20"/>
          <w:lang w:val="en-US"/>
        </w:rPr>
        <w:tab/>
      </w:r>
      <w:r>
        <w:rPr>
          <w:rFonts w:ascii="Cambria Math" w:eastAsiaTheme="minorEastAsia" w:hAnsi="Cambria Math" w:cs="Times New Roman"/>
          <w:iCs/>
          <w:sz w:val="20"/>
          <w:szCs w:val="20"/>
          <w:lang w:val="en-US"/>
        </w:rPr>
        <w:tab/>
      </w:r>
      <w:r>
        <w:rPr>
          <w:rFonts w:ascii="Cambria Math" w:eastAsiaTheme="minorEastAsia" w:hAnsi="Cambria Math" w:cs="Times New Roman"/>
          <w:iCs/>
          <w:sz w:val="20"/>
          <w:szCs w:val="20"/>
          <w:lang w:val="en-US"/>
        </w:rPr>
        <w:tab/>
      </w:r>
      <w:r>
        <w:rPr>
          <w:rFonts w:ascii="Cambria Math" w:eastAsiaTheme="minorEastAsia" w:hAnsi="Cambria Math" w:cs="Times New Roman"/>
          <w:iCs/>
          <w:sz w:val="20"/>
          <w:szCs w:val="20"/>
          <w:lang w:val="en-US"/>
        </w:rPr>
        <w:tab/>
      </w:r>
      <w:r>
        <w:rPr>
          <w:rFonts w:ascii="Cambria Math" w:eastAsiaTheme="minorEastAsia" w:hAnsi="Cambria Math" w:cs="Times New Roman"/>
          <w:iCs/>
          <w:sz w:val="20"/>
          <w:szCs w:val="20"/>
          <w:lang w:val="en-US"/>
        </w:rPr>
        <w:tab/>
      </w:r>
      <w:r>
        <w:rPr>
          <w:rFonts w:ascii="Cambria Math" w:eastAsiaTheme="minorEastAsia" w:hAnsi="Cambria Math" w:cs="Times New Roman"/>
          <w:iCs/>
          <w:sz w:val="20"/>
          <w:szCs w:val="20"/>
          <w:lang w:val="en-US"/>
        </w:rPr>
        <w:tab/>
        <w:t>(Eq.4)</w:t>
      </w:r>
    </w:p>
    <w:p w14:paraId="13EC50E8" w14:textId="77777777" w:rsidR="00182B94" w:rsidRPr="00AA48F5" w:rsidRDefault="00182B94" w:rsidP="00182B94">
      <w:pPr>
        <w:rPr>
          <w:rFonts w:ascii="Cambria Math" w:hAnsi="Cambria Math" w:cs="Times New Roman"/>
          <w:i/>
          <w:sz w:val="20"/>
          <w:szCs w:val="20"/>
          <w:lang w:val="en-US"/>
        </w:rPr>
      </w:pPr>
      <m:oMath>
        <m:r>
          <w:rPr>
            <w:rFonts w:ascii="Cambria Math" w:hAnsi="Cambria Math" w:cs="Times New Roman"/>
            <w:sz w:val="20"/>
            <w:szCs w:val="20"/>
            <w:lang w:val="en-US"/>
          </w:rPr>
          <m:t>dt</m:t>
        </m:r>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ven[alb]</m:t>
                </m:r>
              </m:sub>
            </m:sSub>
          </m:e>
        </m:d>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c</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art[alb]</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ven[alb]</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k</m:t>
            </m:r>
          </m:e>
          <m:sub>
            <m:r>
              <w:rPr>
                <w:rFonts w:ascii="Cambria Math" w:hAnsi="Cambria Math" w:cs="Times New Roman"/>
                <w:sz w:val="20"/>
                <w:szCs w:val="20"/>
                <w:lang w:val="en-US"/>
              </w:rPr>
              <m:t>alb</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ven</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ub</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k</m:t>
            </m:r>
          </m:e>
          <m:sub>
            <m:r>
              <w:rPr>
                <w:rFonts w:ascii="Cambria Math" w:hAnsi="Cambria Math" w:cs="Times New Roman"/>
                <w:sz w:val="20"/>
                <w:szCs w:val="20"/>
                <w:lang w:val="en-US"/>
              </w:rPr>
              <m:t>elim</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ven[alb]</m:t>
            </m:r>
          </m:sub>
        </m:sSub>
      </m:oMath>
      <w:r>
        <w:rPr>
          <w:rFonts w:ascii="Cambria Math" w:eastAsiaTheme="minorEastAsia" w:hAnsi="Cambria Math" w:cs="Times New Roman"/>
          <w:i/>
          <w:sz w:val="20"/>
          <w:szCs w:val="20"/>
          <w:lang w:val="en-US"/>
        </w:rPr>
        <w:tab/>
      </w:r>
      <w:r>
        <w:rPr>
          <w:rFonts w:ascii="Cambria Math" w:eastAsiaTheme="minorEastAsia" w:hAnsi="Cambria Math" w:cs="Times New Roman"/>
          <w:i/>
          <w:sz w:val="20"/>
          <w:szCs w:val="20"/>
          <w:lang w:val="en-US"/>
        </w:rPr>
        <w:tab/>
      </w:r>
      <w:r>
        <w:rPr>
          <w:rFonts w:ascii="Cambria Math" w:eastAsiaTheme="minorEastAsia" w:hAnsi="Cambria Math" w:cs="Times New Roman"/>
          <w:iCs/>
          <w:sz w:val="20"/>
          <w:szCs w:val="20"/>
          <w:lang w:val="en-US"/>
        </w:rPr>
        <w:t>(Eq. 5)</w:t>
      </w:r>
    </w:p>
    <w:p w14:paraId="6BE89ED5" w14:textId="77777777" w:rsidR="00182B94" w:rsidRPr="000F4575" w:rsidRDefault="00182B94" w:rsidP="00182B94">
      <w:pPr>
        <w:rPr>
          <w:rFonts w:ascii="Cambria Math" w:eastAsiaTheme="minorEastAsia" w:hAnsi="Cambria Math" w:cs="Times New Roman"/>
          <w:iCs/>
          <w:sz w:val="20"/>
          <w:szCs w:val="20"/>
          <w:lang w:val="en-US"/>
        </w:rPr>
      </w:pPr>
      <m:oMath>
        <m:r>
          <w:rPr>
            <w:rFonts w:ascii="Cambria Math" w:hAnsi="Cambria Math" w:cs="Times New Roman"/>
            <w:sz w:val="20"/>
            <w:szCs w:val="20"/>
            <w:lang w:val="en-US"/>
          </w:rPr>
          <m:t>dt</m:t>
        </m:r>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ven</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mcr</m:t>
                    </m:r>
                  </m:e>
                </m:d>
              </m:sub>
            </m:sSub>
          </m:e>
        </m:d>
        <m:r>
          <w:rPr>
            <w:rFonts w:ascii="Cambria Math" w:hAnsi="Cambria Math" w:cs="Times New Roman"/>
            <w:sz w:val="20"/>
            <w:szCs w:val="20"/>
            <w:lang w:val="en-US"/>
          </w:rPr>
          <m:t xml:space="preserve">= </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 xml:space="preserve">skn </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skn</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mcr</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ven</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mcr</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kid</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kid</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mcr</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ven</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mcr</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c</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 xml:space="preserve">skn </m:t>
            </m:r>
          </m:sub>
        </m:sSub>
        <m:sSub>
          <m:sSubPr>
            <m:ctrlPr>
              <w:rPr>
                <w:rFonts w:ascii="Cambria Math" w:hAnsi="Cambria Math" w:cs="Times New Roman"/>
                <w:i/>
                <w:sz w:val="20"/>
                <w:szCs w:val="20"/>
                <w:lang w:val="en-US"/>
              </w:rPr>
            </m:ctrlPr>
          </m:sSubPr>
          <m:e>
            <m:r>
              <w:rPr>
                <w:rFonts w:ascii="Cambria Math" w:hAnsi="Cambria Math" w:cs="Times New Roman"/>
                <w:sz w:val="20"/>
                <w:szCs w:val="20"/>
                <w:lang w:val="en-US"/>
              </w:rPr>
              <m:t>- Q</m:t>
            </m:r>
          </m:e>
          <m:sub>
            <m:r>
              <w:rPr>
                <w:rFonts w:ascii="Cambria Math" w:hAnsi="Cambria Math" w:cs="Times New Roman"/>
                <w:sz w:val="20"/>
                <w:szCs w:val="20"/>
                <w:lang w:val="en-US"/>
              </w:rPr>
              <m:t xml:space="preserve">kid </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art</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mcr</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ven</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mcr</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k</m:t>
            </m:r>
          </m:e>
          <m:sub>
            <m:r>
              <w:rPr>
                <w:rFonts w:ascii="Cambria Math" w:hAnsi="Cambria Math" w:cs="Times New Roman"/>
                <w:sz w:val="20"/>
                <w:szCs w:val="20"/>
                <w:lang w:val="en-US"/>
              </w:rPr>
              <m:t>mcr</m:t>
            </m:r>
          </m:sub>
        </m:sSub>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ven</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ub</m:t>
                </m:r>
              </m:e>
            </m:d>
          </m:sub>
        </m:sSub>
        <m:r>
          <w:rPr>
            <w:rFonts w:ascii="Cambria Math" w:hAnsi="Cambria Math" w:cs="Times New Roman"/>
            <w:sz w:val="20"/>
            <w:szCs w:val="20"/>
            <w:lang w:val="en-US"/>
          </w:rPr>
          <m:t xml:space="preserve">+ </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k</m:t>
            </m:r>
          </m:e>
          <m:sub>
            <m:r>
              <w:rPr>
                <w:rFonts w:ascii="Cambria Math" w:hAnsi="Cambria Math" w:cs="Times New Roman"/>
                <w:sz w:val="20"/>
                <w:szCs w:val="20"/>
                <w:lang w:val="en-US"/>
              </w:rPr>
              <m:t>elim</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ven[alb]</m:t>
            </m:r>
          </m:sub>
        </m:sSub>
      </m:oMath>
      <w:r>
        <w:rPr>
          <w:rFonts w:ascii="Cambria Math" w:eastAsiaTheme="minorEastAsia" w:hAnsi="Cambria Math" w:cs="Times New Roman"/>
          <w:sz w:val="20"/>
          <w:szCs w:val="20"/>
          <w:lang w:val="en-US"/>
        </w:rPr>
        <w:tab/>
      </w:r>
      <w:r>
        <w:rPr>
          <w:rFonts w:ascii="Cambria Math" w:eastAsiaTheme="minorEastAsia" w:hAnsi="Cambria Math" w:cs="Times New Roman"/>
          <w:sz w:val="20"/>
          <w:szCs w:val="20"/>
          <w:lang w:val="en-US"/>
        </w:rPr>
        <w:tab/>
      </w:r>
      <w:r>
        <w:rPr>
          <w:rFonts w:ascii="Cambria Math" w:eastAsiaTheme="minorEastAsia" w:hAnsi="Cambria Math" w:cs="Times New Roman"/>
          <w:sz w:val="20"/>
          <w:szCs w:val="20"/>
          <w:lang w:val="en-US"/>
        </w:rPr>
        <w:tab/>
      </w:r>
      <w:r>
        <w:rPr>
          <w:rFonts w:ascii="Cambria Math" w:eastAsiaTheme="minorEastAsia" w:hAnsi="Cambria Math" w:cs="Times New Roman"/>
          <w:iCs/>
          <w:sz w:val="20"/>
          <w:szCs w:val="20"/>
          <w:lang w:val="en-US"/>
        </w:rPr>
        <w:t>(Eq. 6)</w:t>
      </w:r>
    </w:p>
    <w:p w14:paraId="56224751" w14:textId="77777777" w:rsidR="00182B94" w:rsidRDefault="00182B94" w:rsidP="00182B94">
      <w:pPr>
        <w:rPr>
          <w:rFonts w:ascii="Times New Roman" w:hAnsi="Times New Roman" w:cs="Times New Roman"/>
          <w:lang w:val="en-US"/>
        </w:rPr>
      </w:pPr>
      <w:r>
        <w:rPr>
          <w:rFonts w:ascii="Times New Roman" w:hAnsi="Times New Roman" w:cs="Times New Roman"/>
          <w:lang w:val="en-US"/>
        </w:rPr>
        <w:t xml:space="preserve">where </w:t>
      </w:r>
      <w:proofErr w:type="spellStart"/>
      <w:r>
        <w:rPr>
          <w:rFonts w:ascii="Times New Roman" w:hAnsi="Times New Roman" w:cs="Times New Roman"/>
          <w:lang w:val="en-US"/>
        </w:rPr>
        <w:t>Q</w:t>
      </w:r>
      <w:r w:rsidRPr="003A05E8">
        <w:rPr>
          <w:rFonts w:ascii="Times New Roman" w:hAnsi="Times New Roman" w:cs="Times New Roman"/>
          <w:vertAlign w:val="subscript"/>
          <w:lang w:val="en-US"/>
        </w:rPr>
        <w:t>skn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Q</w:t>
      </w:r>
      <w:r w:rsidRPr="003A05E8">
        <w:rPr>
          <w:rFonts w:ascii="Times New Roman" w:hAnsi="Times New Roman" w:cs="Times New Roman"/>
          <w:vertAlign w:val="subscript"/>
          <w:lang w:val="en-US"/>
        </w:rPr>
        <w:t>liv</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Q</w:t>
      </w:r>
      <w:r w:rsidRPr="003A05E8">
        <w:rPr>
          <w:rFonts w:ascii="Times New Roman" w:hAnsi="Times New Roman" w:cs="Times New Roman"/>
          <w:vertAlign w:val="subscript"/>
          <w:lang w:val="en-US"/>
        </w:rPr>
        <w:t>gut</w:t>
      </w:r>
      <w:proofErr w:type="spellEnd"/>
      <w:r>
        <w:rPr>
          <w:rFonts w:ascii="Times New Roman" w:hAnsi="Times New Roman" w:cs="Times New Roman"/>
          <w:lang w:val="en-US"/>
        </w:rPr>
        <w:t xml:space="preserve">, and </w:t>
      </w:r>
      <w:proofErr w:type="spellStart"/>
      <w:r>
        <w:rPr>
          <w:rFonts w:ascii="Times New Roman" w:hAnsi="Times New Roman" w:cs="Times New Roman"/>
          <w:lang w:val="en-US"/>
        </w:rPr>
        <w:t>Q</w:t>
      </w:r>
      <w:r>
        <w:rPr>
          <w:rFonts w:ascii="Times New Roman" w:hAnsi="Times New Roman" w:cs="Times New Roman"/>
          <w:vertAlign w:val="subscript"/>
          <w:lang w:val="en-US"/>
        </w:rPr>
        <w:t>rem</w:t>
      </w:r>
      <w:proofErr w:type="spellEnd"/>
      <w:r>
        <w:rPr>
          <w:rFonts w:ascii="Times New Roman" w:hAnsi="Times New Roman" w:cs="Times New Roman"/>
          <w:lang w:val="en-US"/>
        </w:rPr>
        <w:t xml:space="preserve"> are the blood flow rates to and from the skin, liver, gut, and remaining tissue compartments (in L/h) and </w:t>
      </w:r>
      <w:proofErr w:type="spellStart"/>
      <w:r>
        <w:rPr>
          <w:rFonts w:ascii="Times New Roman" w:hAnsi="Times New Roman" w:cs="Times New Roman"/>
          <w:lang w:val="en-US"/>
        </w:rPr>
        <w:t>C</w:t>
      </w:r>
      <w:r w:rsidRPr="00AA48F5">
        <w:rPr>
          <w:rFonts w:ascii="Times New Roman" w:hAnsi="Times New Roman" w:cs="Times New Roman"/>
          <w:vertAlign w:val="subscript"/>
          <w:lang w:val="en-US"/>
        </w:rPr>
        <w:t>skn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w:t>
      </w:r>
      <w:r w:rsidRPr="00AA48F5">
        <w:rPr>
          <w:rFonts w:ascii="Times New Roman" w:hAnsi="Times New Roman" w:cs="Times New Roman"/>
          <w:vertAlign w:val="subscript"/>
          <w:lang w:val="en-US"/>
        </w:rPr>
        <w:t>liv</w:t>
      </w:r>
      <w:proofErr w:type="spellEnd"/>
      <w:r>
        <w:rPr>
          <w:rFonts w:ascii="Times New Roman" w:hAnsi="Times New Roman" w:cs="Times New Roman"/>
          <w:lang w:val="en-US"/>
        </w:rPr>
        <w:t>, and C</w:t>
      </w:r>
      <w:r>
        <w:rPr>
          <w:rFonts w:ascii="Times New Roman" w:hAnsi="Times New Roman" w:cs="Times New Roman"/>
          <w:vertAlign w:val="subscript"/>
          <w:lang w:val="en-US"/>
        </w:rPr>
        <w:t>rem</w:t>
      </w:r>
      <w:r>
        <w:rPr>
          <w:rFonts w:ascii="Times New Roman" w:hAnsi="Times New Roman" w:cs="Times New Roman"/>
          <w:lang w:val="en-US"/>
        </w:rPr>
        <w:t xml:space="preserve"> the concentrations in these compartments. Note that only the unbound fraction is assumed to leave the circulation and that blood flow from the gut is through the liver.</w:t>
      </w:r>
    </w:p>
    <w:p w14:paraId="7C16C4AA" w14:textId="77777777" w:rsidR="00182B94" w:rsidRPr="000F4575" w:rsidRDefault="00182B94" w:rsidP="00182B94">
      <w:pPr>
        <w:pStyle w:val="Heading4"/>
        <w:rPr>
          <w:lang w:val="en-GB"/>
        </w:rPr>
      </w:pPr>
      <w:r w:rsidRPr="000F4575">
        <w:rPr>
          <w:lang w:val="en-GB"/>
        </w:rPr>
        <w:t>Faecal excretion</w:t>
      </w:r>
    </w:p>
    <w:p w14:paraId="1083B096" w14:textId="77777777" w:rsidR="00182B94" w:rsidRDefault="00182B94" w:rsidP="00182B94">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The fraction of diisocyanates that is inhaled but not absorbed in the lungs is transferred to the gut lumen compartment. We assume that absorption of diisocyanates from the lumen into the gut is negligible, so that all diisocyanates in the gut lumen will be excreted in the feces. </w:t>
      </w:r>
    </w:p>
    <w:p w14:paraId="271A23AA" w14:textId="77777777" w:rsidR="00182B94" w:rsidRDefault="00182B94" w:rsidP="00182B94">
      <w:pPr>
        <w:rPr>
          <w:rFonts w:ascii="Times New Roman" w:hAnsi="Times New Roman" w:cs="Times New Roman"/>
          <w:lang w:val="en-US"/>
        </w:rPr>
      </w:pPr>
      <w:r>
        <w:rPr>
          <w:rFonts w:ascii="Times New Roman" w:hAnsi="Times New Roman" w:cs="Times New Roman"/>
          <w:lang w:val="en-US"/>
        </w:rPr>
        <w:t>The amounts of unbound diisocyanates in the gut lumen and feces are described by the following equations (Eq. 7 – 8):</w:t>
      </w:r>
    </w:p>
    <w:p w14:paraId="30D6FAF0" w14:textId="77777777" w:rsidR="00182B94" w:rsidRPr="001006AA" w:rsidRDefault="00182B94" w:rsidP="00182B94">
      <w:pPr>
        <w:rPr>
          <w:rFonts w:ascii="Times New Roman" w:hAnsi="Times New Roman" w:cs="Times New Roman"/>
          <w:sz w:val="20"/>
          <w:szCs w:val="20"/>
          <w:lang w:val="en-US"/>
        </w:rPr>
      </w:pPr>
      <m:oMath>
        <m:r>
          <w:rPr>
            <w:rFonts w:ascii="Cambria Math" w:hAnsi="Cambria Math" w:cs="Times New Roman"/>
            <w:sz w:val="20"/>
            <w:szCs w:val="20"/>
            <w:lang w:val="en-US"/>
          </w:rPr>
          <m:t>dt</m:t>
        </m:r>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lum[ub</m:t>
                </m:r>
              </m:sub>
            </m:sSub>
          </m:e>
        </m:d>
        <m:r>
          <w:rPr>
            <w:rFonts w:ascii="Cambria Math" w:hAnsi="Cambria Math" w:cs="Times New Roman"/>
            <w:sz w:val="20"/>
            <w:szCs w:val="20"/>
            <w:lang w:val="en-US"/>
          </w:rPr>
          <m:t>=</m:t>
        </m:r>
        <m:d>
          <m:dPr>
            <m:ctrlPr>
              <w:rPr>
                <w:rFonts w:ascii="Cambria Math" w:hAnsi="Cambria Math" w:cs="Times New Roman"/>
                <w:i/>
                <w:sz w:val="20"/>
                <w:szCs w:val="20"/>
                <w:lang w:val="en-US"/>
              </w:rPr>
            </m:ctrlPr>
          </m:dPr>
          <m:e>
            <m:r>
              <w:rPr>
                <w:rFonts w:ascii="Cambria Math" w:hAnsi="Cambria Math" w:cs="Times New Roman"/>
                <w:sz w:val="20"/>
                <w:szCs w:val="20"/>
                <w:lang w:val="en-US"/>
              </w:rPr>
              <m:t>1-</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abs</m:t>
                </m:r>
              </m:sub>
            </m:sSub>
          </m:e>
        </m:d>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br</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air</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k</m:t>
            </m:r>
          </m:e>
          <m:sub>
            <m:r>
              <w:rPr>
                <w:rFonts w:ascii="Cambria Math" w:hAnsi="Cambria Math" w:cs="Times New Roman"/>
                <w:sz w:val="20"/>
                <w:szCs w:val="20"/>
                <w:lang w:val="en-US"/>
              </w:rPr>
              <m:t>feces</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lum</m:t>
            </m:r>
          </m:sub>
        </m:sSub>
      </m:oMath>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r>
      <w:r>
        <w:rPr>
          <w:rFonts w:ascii="Cambria Math" w:eastAsiaTheme="minorEastAsia" w:hAnsi="Cambria Math" w:cs="Times New Roman"/>
          <w:iCs/>
          <w:sz w:val="20"/>
          <w:szCs w:val="20"/>
          <w:lang w:val="en-US"/>
        </w:rPr>
        <w:t>(Eq. 7)</w:t>
      </w:r>
    </w:p>
    <w:p w14:paraId="42659C48" w14:textId="77777777" w:rsidR="00182B94" w:rsidRPr="00805DBB" w:rsidRDefault="00182B94" w:rsidP="00182B94">
      <w:pPr>
        <w:rPr>
          <w:rFonts w:ascii="Times New Roman" w:hAnsi="Times New Roman" w:cs="Times New Roman"/>
          <w:lang w:val="en-US"/>
        </w:rPr>
      </w:pPr>
      <m:oMath>
        <m:r>
          <w:rPr>
            <w:rFonts w:ascii="Cambria Math" w:hAnsi="Cambria Math" w:cs="Times New Roman"/>
            <w:lang w:val="en-US"/>
          </w:rPr>
          <m:t>dt(</m:t>
        </m:r>
        <m:sSub>
          <m:sSubPr>
            <m:ctrlPr>
              <w:rPr>
                <w:rFonts w:ascii="Cambria Math" w:hAnsi="Cambria Math" w:cs="Times New Roman"/>
                <w:i/>
                <w:lang w:val="en-US"/>
              </w:rPr>
            </m:ctrlPr>
          </m:sSubPr>
          <m:e>
            <m:r>
              <w:rPr>
                <w:rFonts w:ascii="Cambria Math" w:hAnsi="Cambria Math" w:cs="Times New Roman"/>
                <w:lang w:val="en-US"/>
              </w:rPr>
              <m:t>A</m:t>
            </m:r>
          </m:e>
          <m:sub>
            <m:r>
              <w:rPr>
                <w:rFonts w:ascii="Cambria Math" w:hAnsi="Cambria Math" w:cs="Times New Roman"/>
                <w:lang w:val="en-US"/>
              </w:rPr>
              <m:t>feces</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k</m:t>
            </m:r>
          </m:e>
          <m:sub>
            <m:r>
              <w:rPr>
                <w:rFonts w:ascii="Cambria Math" w:hAnsi="Cambria Math" w:cs="Times New Roman"/>
                <w:lang w:val="en-US"/>
              </w:rPr>
              <m:t>feces</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A</m:t>
            </m:r>
          </m:e>
          <m:sub>
            <m:r>
              <w:rPr>
                <w:rFonts w:ascii="Cambria Math" w:hAnsi="Cambria Math" w:cs="Times New Roman"/>
                <w:lang w:val="en-US"/>
              </w:rPr>
              <m:t>lum</m:t>
            </m:r>
          </m:sub>
        </m:sSub>
      </m:oMath>
      <w:r>
        <w:rPr>
          <w:rFonts w:ascii="Times New Roman" w:eastAsiaTheme="minorEastAsia" w:hAnsi="Times New Roman" w:cs="Times New Roman"/>
          <w:lang w:val="en-US"/>
        </w:rPr>
        <w:tab/>
      </w:r>
      <w:r>
        <w:rPr>
          <w:rFonts w:ascii="Times New Roman" w:eastAsiaTheme="minorEastAsia" w:hAnsi="Times New Roman" w:cs="Times New Roman"/>
          <w:lang w:val="en-US"/>
        </w:rPr>
        <w:tab/>
      </w:r>
      <w:r>
        <w:rPr>
          <w:rFonts w:ascii="Times New Roman" w:eastAsiaTheme="minorEastAsia" w:hAnsi="Times New Roman" w:cs="Times New Roman"/>
          <w:lang w:val="en-US"/>
        </w:rPr>
        <w:tab/>
      </w:r>
      <w:r>
        <w:rPr>
          <w:rFonts w:ascii="Times New Roman" w:eastAsiaTheme="minorEastAsia" w:hAnsi="Times New Roman" w:cs="Times New Roman"/>
          <w:lang w:val="en-US"/>
        </w:rPr>
        <w:tab/>
      </w:r>
      <w:r>
        <w:rPr>
          <w:rFonts w:ascii="Times New Roman" w:eastAsiaTheme="minorEastAsia" w:hAnsi="Times New Roman" w:cs="Times New Roman"/>
          <w:lang w:val="en-US"/>
        </w:rPr>
        <w:tab/>
      </w:r>
      <w:r>
        <w:rPr>
          <w:rFonts w:ascii="Times New Roman" w:eastAsiaTheme="minorEastAsia" w:hAnsi="Times New Roman" w:cs="Times New Roman"/>
          <w:lang w:val="en-US"/>
        </w:rPr>
        <w:tab/>
      </w:r>
      <w:r>
        <w:rPr>
          <w:rFonts w:ascii="Times New Roman" w:eastAsiaTheme="minorEastAsia" w:hAnsi="Times New Roman" w:cs="Times New Roman"/>
          <w:lang w:val="en-US"/>
        </w:rPr>
        <w:tab/>
      </w:r>
      <w:r>
        <w:rPr>
          <w:rFonts w:ascii="Times New Roman" w:eastAsiaTheme="minorEastAsia" w:hAnsi="Times New Roman" w:cs="Times New Roman"/>
          <w:lang w:val="en-US"/>
        </w:rPr>
        <w:tab/>
      </w:r>
      <w:r>
        <w:rPr>
          <w:rFonts w:ascii="Cambria Math" w:eastAsiaTheme="minorEastAsia" w:hAnsi="Cambria Math" w:cs="Times New Roman"/>
          <w:iCs/>
          <w:sz w:val="20"/>
          <w:szCs w:val="20"/>
          <w:lang w:val="en-US"/>
        </w:rPr>
        <w:t>(Eq. 8)</w:t>
      </w:r>
    </w:p>
    <w:p w14:paraId="4F2960DB" w14:textId="77777777" w:rsidR="00182B94" w:rsidRDefault="00182B94" w:rsidP="00182B94">
      <w:pPr>
        <w:rPr>
          <w:rFonts w:ascii="Times New Roman" w:eastAsiaTheme="minorEastAsia" w:hAnsi="Times New Roman" w:cs="Times New Roman"/>
          <w:lang w:val="en-US"/>
        </w:rPr>
      </w:pPr>
      <w:r>
        <w:rPr>
          <w:rFonts w:ascii="Times New Roman" w:hAnsi="Times New Roman" w:cs="Times New Roman"/>
          <w:lang w:val="en-US"/>
        </w:rPr>
        <w:t xml:space="preserve">where </w:t>
      </w:r>
      <w:proofErr w:type="spellStart"/>
      <w:r>
        <w:rPr>
          <w:rFonts w:ascii="Times New Roman" w:hAnsi="Times New Roman" w:cs="Times New Roman"/>
          <w:lang w:val="en-US"/>
        </w:rPr>
        <w:t>k</w:t>
      </w:r>
      <w:r>
        <w:rPr>
          <w:rFonts w:ascii="Times New Roman" w:hAnsi="Times New Roman" w:cs="Times New Roman"/>
          <w:vertAlign w:val="subscript"/>
          <w:lang w:val="en-US"/>
        </w:rPr>
        <w:t>feces</w:t>
      </w:r>
      <w:proofErr w:type="spellEnd"/>
      <w:r>
        <w:rPr>
          <w:rFonts w:ascii="Times New Roman" w:hAnsi="Times New Roman" w:cs="Times New Roman"/>
          <w:lang w:val="en-US"/>
        </w:rPr>
        <w:t xml:space="preserve"> is the transfer rate constant (unit h</w:t>
      </w:r>
      <w:r>
        <w:rPr>
          <w:rFonts w:ascii="Times New Roman" w:hAnsi="Times New Roman" w:cs="Times New Roman"/>
          <w:vertAlign w:val="superscript"/>
          <w:lang w:val="en-US"/>
        </w:rPr>
        <w:t>-1</w:t>
      </w:r>
      <w:r>
        <w:rPr>
          <w:rFonts w:ascii="Times New Roman" w:hAnsi="Times New Roman" w:cs="Times New Roman"/>
          <w:lang w:val="en-US"/>
        </w:rPr>
        <w:t>) of diisocyanates from the gut lumen to the feces.</w:t>
      </w:r>
    </w:p>
    <w:p w14:paraId="01757E37" w14:textId="77777777" w:rsidR="00182B94" w:rsidRPr="00F8748B" w:rsidRDefault="00182B94" w:rsidP="00182B94">
      <w:pPr>
        <w:pStyle w:val="Heading4"/>
        <w:rPr>
          <w:lang w:val="en-US"/>
        </w:rPr>
      </w:pPr>
      <w:r>
        <w:rPr>
          <w:lang w:val="en-US"/>
        </w:rPr>
        <w:t xml:space="preserve">Remaining compartments </w:t>
      </w:r>
    </w:p>
    <w:p w14:paraId="1377B07E" w14:textId="77777777" w:rsidR="00182B94" w:rsidRDefault="00182B94" w:rsidP="00182B94">
      <w:pPr>
        <w:rPr>
          <w:rFonts w:ascii="Times New Roman" w:hAnsi="Times New Roman" w:cs="Times New Roman"/>
          <w:lang w:val="en-US"/>
        </w:rPr>
      </w:pPr>
      <w:r w:rsidRPr="000239B8">
        <w:rPr>
          <w:rFonts w:ascii="Times New Roman" w:hAnsi="Times New Roman" w:cs="Times New Roman"/>
          <w:lang w:val="en-US"/>
        </w:rPr>
        <w:t>The amount of diisocyanates in the remaining tissues (A</w:t>
      </w:r>
      <w:r w:rsidRPr="008A3A53">
        <w:rPr>
          <w:rFonts w:ascii="Times New Roman" w:hAnsi="Times New Roman" w:cs="Times New Roman"/>
          <w:vertAlign w:val="subscript"/>
          <w:lang w:val="en-US"/>
        </w:rPr>
        <w:t>rem</w:t>
      </w:r>
      <w:r w:rsidRPr="000239B8">
        <w:rPr>
          <w:rFonts w:ascii="Times New Roman" w:hAnsi="Times New Roman" w:cs="Times New Roman"/>
          <w:lang w:val="en-US"/>
        </w:rPr>
        <w:t>) is described by the following equation</w:t>
      </w:r>
      <w:r>
        <w:rPr>
          <w:rFonts w:ascii="Times New Roman" w:hAnsi="Times New Roman" w:cs="Times New Roman"/>
          <w:lang w:val="en-US"/>
        </w:rPr>
        <w:t xml:space="preserve"> (Eq. 9)</w:t>
      </w:r>
      <w:r w:rsidRPr="000239B8">
        <w:rPr>
          <w:rFonts w:ascii="Times New Roman" w:hAnsi="Times New Roman" w:cs="Times New Roman"/>
          <w:lang w:val="en-US"/>
        </w:rPr>
        <w:t>:</w:t>
      </w:r>
    </w:p>
    <w:p w14:paraId="71BA8134" w14:textId="77777777" w:rsidR="00182B94" w:rsidRDefault="00182B94" w:rsidP="00182B94">
      <w:pPr>
        <w:rPr>
          <w:rFonts w:ascii="Cambria Math" w:eastAsiaTheme="minorEastAsia" w:hAnsi="Cambria Math" w:cs="Times New Roman"/>
          <w:iCs/>
          <w:sz w:val="20"/>
          <w:szCs w:val="20"/>
          <w:lang w:val="en-US"/>
        </w:rPr>
      </w:pPr>
      <m:oMath>
        <m:r>
          <w:rPr>
            <w:rFonts w:ascii="Cambria Math" w:hAnsi="Cambria Math" w:cs="Times New Roman"/>
            <w:sz w:val="20"/>
            <w:szCs w:val="20"/>
            <w:lang w:val="en-US"/>
          </w:rPr>
          <m:t>dt</m:t>
        </m:r>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rem[ub]</m:t>
                </m:r>
              </m:sub>
            </m:sSub>
          </m:e>
        </m:d>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c</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skn</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art</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ub</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rem</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ub</m:t>
                </m:r>
              </m:e>
            </m:d>
          </m:sub>
        </m:sSub>
        <m:r>
          <w:rPr>
            <w:rFonts w:ascii="Cambria Math" w:hAnsi="Cambria Math" w:cs="Times New Roman"/>
            <w:sz w:val="20"/>
            <w:szCs w:val="20"/>
            <w:lang w:val="en-US"/>
          </w:rPr>
          <m:t>)</m:t>
        </m:r>
      </m:oMath>
      <w:r>
        <w:rPr>
          <w:rFonts w:ascii="Cambria Math" w:eastAsiaTheme="minorEastAsia" w:hAnsi="Cambria Math" w:cs="Times New Roman"/>
          <w:i/>
          <w:sz w:val="20"/>
          <w:szCs w:val="20"/>
          <w:lang w:val="en-US"/>
        </w:rPr>
        <w:tab/>
      </w:r>
      <w:r>
        <w:rPr>
          <w:rFonts w:ascii="Cambria Math" w:eastAsiaTheme="minorEastAsia" w:hAnsi="Cambria Math" w:cs="Times New Roman"/>
          <w:i/>
          <w:sz w:val="20"/>
          <w:szCs w:val="20"/>
          <w:lang w:val="en-US"/>
        </w:rPr>
        <w:tab/>
      </w:r>
      <w:r>
        <w:rPr>
          <w:rFonts w:ascii="Cambria Math" w:eastAsiaTheme="minorEastAsia" w:hAnsi="Cambria Math" w:cs="Times New Roman"/>
          <w:i/>
          <w:sz w:val="20"/>
          <w:szCs w:val="20"/>
          <w:lang w:val="en-US"/>
        </w:rPr>
        <w:tab/>
      </w:r>
      <w:r>
        <w:rPr>
          <w:rFonts w:ascii="Cambria Math" w:eastAsiaTheme="minorEastAsia" w:hAnsi="Cambria Math" w:cs="Times New Roman"/>
          <w:i/>
          <w:sz w:val="20"/>
          <w:szCs w:val="20"/>
          <w:lang w:val="en-US"/>
        </w:rPr>
        <w:tab/>
      </w:r>
      <w:r>
        <w:rPr>
          <w:rFonts w:ascii="Cambria Math" w:eastAsiaTheme="minorEastAsia" w:hAnsi="Cambria Math" w:cs="Times New Roman"/>
          <w:iCs/>
          <w:sz w:val="20"/>
          <w:szCs w:val="20"/>
          <w:lang w:val="en-US"/>
        </w:rPr>
        <w:t>(Eq. 9)</w:t>
      </w:r>
    </w:p>
    <w:p w14:paraId="1AFB8C69" w14:textId="77777777" w:rsidR="00182B94" w:rsidRPr="001006AA" w:rsidRDefault="00182B94" w:rsidP="00182B94">
      <w:pPr>
        <w:rPr>
          <w:rFonts w:ascii="Cambria Math" w:hAnsi="Cambria Math" w:cs="Times New Roman"/>
          <w:i/>
          <w:sz w:val="20"/>
          <w:szCs w:val="20"/>
          <w:lang w:val="en-US"/>
        </w:rPr>
      </w:pPr>
    </w:p>
    <w:p w14:paraId="3F465237" w14:textId="77777777" w:rsidR="00182B94" w:rsidRPr="000F4575" w:rsidRDefault="00182B94" w:rsidP="00182B94">
      <w:pPr>
        <w:pStyle w:val="Heading4"/>
        <w:rPr>
          <w:lang w:val="en-GB"/>
        </w:rPr>
      </w:pPr>
      <w:r>
        <w:rPr>
          <w:lang w:val="en-US"/>
        </w:rPr>
        <w:lastRenderedPageBreak/>
        <w:t xml:space="preserve"> </w:t>
      </w:r>
      <w:r w:rsidRPr="00B1334D">
        <w:rPr>
          <w:lang w:val="en-US"/>
        </w:rPr>
        <w:t xml:space="preserve">Liver metabolism </w:t>
      </w:r>
    </w:p>
    <w:p w14:paraId="07CCD90E" w14:textId="77777777" w:rsidR="00182B94" w:rsidRPr="00B1334D" w:rsidRDefault="00182B94" w:rsidP="00182B94">
      <w:pPr>
        <w:rPr>
          <w:rFonts w:ascii="Times New Roman" w:hAnsi="Times New Roman" w:cs="Times New Roman"/>
          <w:lang w:val="en-US"/>
        </w:rPr>
      </w:pPr>
      <w:r w:rsidRPr="000F4575">
        <w:rPr>
          <w:rFonts w:ascii="Times New Roman" w:hAnsi="Times New Roman" w:cs="Times New Roman"/>
          <w:lang w:val="en-US"/>
        </w:rPr>
        <w:t>Note that currently we did not include liver metabolism. However, if there would be more evidence available on this, we suggest the following approach.</w:t>
      </w:r>
      <w:r>
        <w:rPr>
          <w:rFonts w:ascii="Times New Roman" w:hAnsi="Times New Roman" w:cs="Times New Roman"/>
          <w:lang w:val="en-US"/>
        </w:rPr>
        <w:t xml:space="preserve"> If there would be information on the percentage of free MDA or TDA, we could set a value for the hydrolyzation </w:t>
      </w:r>
      <w:r w:rsidRPr="00B1334D">
        <w:rPr>
          <w:rFonts w:ascii="Times New Roman" w:hAnsi="Times New Roman" w:cs="Times New Roman"/>
          <w:lang w:val="en-US"/>
        </w:rPr>
        <w:t>rate constant (</w:t>
      </w:r>
      <w:proofErr w:type="spellStart"/>
      <w:r w:rsidRPr="00B1334D">
        <w:rPr>
          <w:rFonts w:ascii="Times New Roman" w:hAnsi="Times New Roman" w:cs="Times New Roman"/>
          <w:lang w:val="en-US"/>
        </w:rPr>
        <w:t>k</w:t>
      </w:r>
      <w:r w:rsidRPr="00B1334D">
        <w:rPr>
          <w:rFonts w:ascii="Times New Roman" w:hAnsi="Times New Roman" w:cs="Times New Roman"/>
          <w:vertAlign w:val="subscript"/>
          <w:lang w:val="en-US"/>
        </w:rPr>
        <w:t>hydro</w:t>
      </w:r>
      <w:proofErr w:type="spellEnd"/>
      <w:r w:rsidRPr="00B1334D">
        <w:rPr>
          <w:rFonts w:ascii="Times New Roman" w:hAnsi="Times New Roman" w:cs="Times New Roman"/>
          <w:lang w:val="en-US"/>
        </w:rPr>
        <w:t>)</w:t>
      </w:r>
      <w:r>
        <w:rPr>
          <w:rFonts w:ascii="Times New Roman" w:hAnsi="Times New Roman" w:cs="Times New Roman"/>
          <w:lang w:val="en-US"/>
        </w:rPr>
        <w:t xml:space="preserve">. </w:t>
      </w:r>
      <w:r w:rsidRPr="00B1334D">
        <w:rPr>
          <w:rFonts w:ascii="Times New Roman" w:hAnsi="Times New Roman" w:cs="Times New Roman"/>
          <w:lang w:val="en-US"/>
        </w:rPr>
        <w:t>We assume that after hydrolysis, metabolized (“met”) diisocyanate enters the general blood circulation, after which it is excreted in the urine. In addition, a parallel PBK model for the distribution and urinary elimination of the metabolites after being generated in the liver compartment</w:t>
      </w:r>
      <w:r>
        <w:rPr>
          <w:rFonts w:ascii="Times New Roman" w:hAnsi="Times New Roman" w:cs="Times New Roman"/>
          <w:lang w:val="en-US"/>
        </w:rPr>
        <w:t xml:space="preserve"> would be incorporated</w:t>
      </w:r>
      <w:r w:rsidRPr="00B1334D">
        <w:rPr>
          <w:rFonts w:ascii="Times New Roman" w:hAnsi="Times New Roman" w:cs="Times New Roman"/>
          <w:lang w:val="en-US"/>
        </w:rPr>
        <w:t>.</w:t>
      </w:r>
    </w:p>
    <w:p w14:paraId="58AFB617" w14:textId="77777777" w:rsidR="00182B94" w:rsidRPr="00B1334D" w:rsidRDefault="00182B94" w:rsidP="00182B94">
      <w:pPr>
        <w:rPr>
          <w:rFonts w:ascii="Times New Roman" w:hAnsi="Times New Roman" w:cs="Times New Roman"/>
          <w:lang w:val="en-US"/>
        </w:rPr>
      </w:pPr>
      <w:r w:rsidRPr="00B1334D">
        <w:rPr>
          <w:rFonts w:ascii="Times New Roman" w:hAnsi="Times New Roman" w:cs="Times New Roman"/>
          <w:lang w:val="en-US"/>
        </w:rPr>
        <w:t xml:space="preserve">The amounts of unbound and metabolized diisocyanates in the liver </w:t>
      </w:r>
      <w:r>
        <w:rPr>
          <w:rFonts w:ascii="Times New Roman" w:hAnsi="Times New Roman" w:cs="Times New Roman"/>
          <w:lang w:val="en-US"/>
        </w:rPr>
        <w:t xml:space="preserve">can be </w:t>
      </w:r>
      <w:r w:rsidRPr="00B1334D">
        <w:rPr>
          <w:rFonts w:ascii="Times New Roman" w:hAnsi="Times New Roman" w:cs="Times New Roman"/>
          <w:lang w:val="en-US"/>
        </w:rPr>
        <w:t>described by the following differential equations</w:t>
      </w:r>
      <w:r>
        <w:rPr>
          <w:rFonts w:ascii="Times New Roman" w:hAnsi="Times New Roman" w:cs="Times New Roman"/>
          <w:lang w:val="en-US"/>
        </w:rPr>
        <w:t xml:space="preserve"> (Eq. 10 – 11)</w:t>
      </w:r>
      <w:r w:rsidRPr="00B1334D">
        <w:rPr>
          <w:rFonts w:ascii="Times New Roman" w:hAnsi="Times New Roman" w:cs="Times New Roman"/>
          <w:lang w:val="en-US"/>
        </w:rPr>
        <w:t>:</w:t>
      </w:r>
    </w:p>
    <w:p w14:paraId="67E97F8C" w14:textId="77777777" w:rsidR="00182B94" w:rsidRPr="00B1334D" w:rsidRDefault="00182B94" w:rsidP="00182B94">
      <w:pPr>
        <w:rPr>
          <w:rFonts w:ascii="Times New Roman" w:hAnsi="Times New Roman" w:cs="Times New Roman"/>
          <w:sz w:val="20"/>
          <w:szCs w:val="20"/>
          <w:lang w:val="en-US"/>
        </w:rPr>
      </w:pPr>
      <m:oMath>
        <m:r>
          <w:rPr>
            <w:rFonts w:ascii="Cambria Math" w:hAnsi="Cambria Math" w:cs="Times New Roman"/>
            <w:sz w:val="20"/>
            <w:szCs w:val="20"/>
            <w:lang w:val="en-US"/>
          </w:rPr>
          <m:t>dt</m:t>
        </m:r>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liv[ub]</m:t>
                </m:r>
              </m:sub>
            </m:sSub>
          </m:e>
        </m:d>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liv</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art</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ub</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gut</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gut</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ub</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liv</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gut</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liv[ub]</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k</m:t>
            </m:r>
          </m:e>
          <m:sub>
            <m:r>
              <w:rPr>
                <w:rFonts w:ascii="Cambria Math" w:hAnsi="Cambria Math" w:cs="Times New Roman"/>
                <w:sz w:val="20"/>
                <w:szCs w:val="20"/>
                <w:lang w:val="en-US"/>
              </w:rPr>
              <m:t>hydr</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liv[ub]</m:t>
            </m:r>
          </m:sub>
        </m:sSub>
      </m:oMath>
      <w:r>
        <w:rPr>
          <w:rFonts w:ascii="Times New Roman" w:eastAsiaTheme="minorEastAsia" w:hAnsi="Times New Roman" w:cs="Times New Roman"/>
          <w:sz w:val="20"/>
          <w:szCs w:val="20"/>
          <w:lang w:val="en-US"/>
        </w:rPr>
        <w:tab/>
        <w:t>(Eq. 10)</w:t>
      </w:r>
    </w:p>
    <w:p w14:paraId="03CF0CFB" w14:textId="77777777" w:rsidR="00182B94" w:rsidRPr="00B1334D" w:rsidRDefault="00182B94" w:rsidP="00182B94">
      <w:pPr>
        <w:rPr>
          <w:rFonts w:ascii="Times New Roman" w:hAnsi="Times New Roman" w:cs="Times New Roman"/>
          <w:sz w:val="20"/>
          <w:szCs w:val="20"/>
          <w:lang w:val="en-US"/>
        </w:rPr>
      </w:pPr>
      <m:oMath>
        <m:r>
          <w:rPr>
            <w:rFonts w:ascii="Cambria Math" w:hAnsi="Cambria Math" w:cs="Times New Roman"/>
            <w:sz w:val="20"/>
            <w:szCs w:val="20"/>
            <w:lang w:val="en-US"/>
          </w:rPr>
          <m:t>dt</m:t>
        </m:r>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liv[met]</m:t>
                </m:r>
              </m:sub>
            </m:sSub>
          </m:e>
        </m:d>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liv</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art</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met</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gut</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gut</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met</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liv</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gut</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liv</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met</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k</m:t>
            </m:r>
          </m:e>
          <m:sub>
            <m:r>
              <w:rPr>
                <w:rFonts w:ascii="Cambria Math" w:hAnsi="Cambria Math" w:cs="Times New Roman"/>
                <w:sz w:val="20"/>
                <w:szCs w:val="20"/>
                <w:lang w:val="en-US"/>
              </w:rPr>
              <m:t>hydr</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liv[ub]</m:t>
            </m:r>
          </m:sub>
        </m:sSub>
      </m:oMath>
      <w:r>
        <w:rPr>
          <w:rFonts w:ascii="Times New Roman" w:eastAsiaTheme="minorEastAsia" w:hAnsi="Times New Roman" w:cs="Times New Roman"/>
          <w:sz w:val="20"/>
          <w:szCs w:val="20"/>
          <w:lang w:val="en-US"/>
        </w:rPr>
        <w:tab/>
        <w:t>(Eq. 11)</w:t>
      </w:r>
    </w:p>
    <w:p w14:paraId="3931BAF9" w14:textId="77777777" w:rsidR="00182B94" w:rsidRPr="00B1334D" w:rsidRDefault="00182B94" w:rsidP="00182B94">
      <w:pPr>
        <w:rPr>
          <w:rFonts w:ascii="Times New Roman" w:hAnsi="Times New Roman" w:cs="Times New Roman"/>
          <w:lang w:val="en-US"/>
        </w:rPr>
      </w:pPr>
      <w:r w:rsidRPr="00B1334D">
        <w:rPr>
          <w:rFonts w:ascii="Times New Roman" w:hAnsi="Times New Roman" w:cs="Times New Roman"/>
          <w:lang w:val="en-US"/>
        </w:rPr>
        <w:t xml:space="preserve">where </w:t>
      </w:r>
      <w:proofErr w:type="spellStart"/>
      <w:r w:rsidRPr="00B1334D">
        <w:rPr>
          <w:rFonts w:ascii="Times New Roman" w:hAnsi="Times New Roman" w:cs="Times New Roman"/>
          <w:lang w:val="en-US"/>
        </w:rPr>
        <w:t>k</w:t>
      </w:r>
      <w:r w:rsidRPr="00B1334D">
        <w:rPr>
          <w:rFonts w:ascii="Times New Roman" w:hAnsi="Times New Roman" w:cs="Times New Roman"/>
          <w:vertAlign w:val="subscript"/>
          <w:lang w:val="en-US"/>
        </w:rPr>
        <w:t>hydr</w:t>
      </w:r>
      <w:proofErr w:type="spellEnd"/>
      <w:r w:rsidRPr="00B1334D">
        <w:rPr>
          <w:rFonts w:ascii="Times New Roman" w:hAnsi="Times New Roman" w:cs="Times New Roman"/>
          <w:lang w:val="en-US"/>
        </w:rPr>
        <w:t xml:space="preserve"> is the rate constant (unit h</w:t>
      </w:r>
      <w:r w:rsidRPr="00B1334D">
        <w:rPr>
          <w:rFonts w:ascii="Times New Roman" w:hAnsi="Times New Roman" w:cs="Times New Roman"/>
          <w:vertAlign w:val="superscript"/>
          <w:lang w:val="en-US"/>
        </w:rPr>
        <w:t>-1</w:t>
      </w:r>
      <w:r w:rsidRPr="00B1334D">
        <w:rPr>
          <w:rFonts w:ascii="Times New Roman" w:hAnsi="Times New Roman" w:cs="Times New Roman"/>
          <w:lang w:val="en-US"/>
        </w:rPr>
        <w:t xml:space="preserve">) for hydrolysis of unbound diisocyanates. </w:t>
      </w:r>
    </w:p>
    <w:p w14:paraId="43DEA85D" w14:textId="77777777" w:rsidR="00182B94" w:rsidRPr="00B1334D" w:rsidRDefault="00182B94" w:rsidP="00182B94">
      <w:pPr>
        <w:rPr>
          <w:rFonts w:ascii="Times New Roman" w:hAnsi="Times New Roman" w:cs="Times New Roman"/>
          <w:lang w:val="en-US"/>
        </w:rPr>
      </w:pPr>
      <w:r w:rsidRPr="00B1334D">
        <w:rPr>
          <w:rFonts w:ascii="Times New Roman" w:hAnsi="Times New Roman" w:cs="Times New Roman"/>
          <w:lang w:val="en-US"/>
        </w:rPr>
        <w:t>Circulation of metabolized diisocyanates through other compartments and urinary excretion are modelled using the following differential equations</w:t>
      </w:r>
      <w:r>
        <w:rPr>
          <w:rFonts w:ascii="Times New Roman" w:hAnsi="Times New Roman" w:cs="Times New Roman"/>
          <w:lang w:val="en-US"/>
        </w:rPr>
        <w:t xml:space="preserve"> (Eq. 12 – 16)</w:t>
      </w:r>
      <w:r w:rsidRPr="00B1334D">
        <w:rPr>
          <w:rFonts w:ascii="Times New Roman" w:hAnsi="Times New Roman" w:cs="Times New Roman"/>
          <w:lang w:val="en-US"/>
        </w:rPr>
        <w:t>:</w:t>
      </w:r>
    </w:p>
    <w:p w14:paraId="4FEDE3AE" w14:textId="77777777" w:rsidR="00182B94" w:rsidRPr="00B1334D" w:rsidRDefault="00182B94" w:rsidP="00182B94">
      <w:pPr>
        <w:rPr>
          <w:rFonts w:ascii="Times New Roman" w:hAnsi="Times New Roman" w:cs="Times New Roman"/>
          <w:sz w:val="20"/>
          <w:szCs w:val="20"/>
          <w:lang w:val="en-US"/>
        </w:rPr>
      </w:pPr>
      <m:oMath>
        <m:r>
          <w:rPr>
            <w:rFonts w:ascii="Cambria Math" w:hAnsi="Cambria Math" w:cs="Times New Roman"/>
            <w:sz w:val="20"/>
            <w:szCs w:val="20"/>
            <w:lang w:val="en-US"/>
          </w:rPr>
          <m:t>dt</m:t>
        </m:r>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skin[met]</m:t>
                </m:r>
              </m:sub>
            </m:sSub>
          </m:e>
        </m:d>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skn</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art</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met</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skin</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met</m:t>
                </m:r>
              </m:e>
            </m:d>
          </m:sub>
        </m:sSub>
        <m:r>
          <w:rPr>
            <w:rFonts w:ascii="Cambria Math" w:hAnsi="Cambria Math" w:cs="Times New Roman"/>
            <w:sz w:val="20"/>
            <w:szCs w:val="20"/>
            <w:lang w:val="en-US"/>
          </w:rPr>
          <m:t>)</m:t>
        </m:r>
      </m:oMath>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t>(Eq. 12)</w:t>
      </w:r>
    </w:p>
    <w:p w14:paraId="744479A0" w14:textId="77777777" w:rsidR="00182B94" w:rsidRPr="00B1334D" w:rsidRDefault="00182B94" w:rsidP="00182B94">
      <w:pPr>
        <w:rPr>
          <w:rFonts w:ascii="Times New Roman" w:hAnsi="Times New Roman" w:cs="Times New Roman"/>
          <w:sz w:val="20"/>
          <w:szCs w:val="20"/>
          <w:lang w:val="en-US"/>
        </w:rPr>
      </w:pPr>
      <m:oMath>
        <m:r>
          <w:rPr>
            <w:rFonts w:ascii="Cambria Math" w:hAnsi="Cambria Math" w:cs="Times New Roman"/>
            <w:sz w:val="20"/>
            <w:szCs w:val="20"/>
            <w:lang w:val="en-US"/>
          </w:rPr>
          <m:t>dt</m:t>
        </m:r>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gut[met]</m:t>
                </m:r>
              </m:sub>
            </m:sSub>
          </m:e>
        </m:d>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gut</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art</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met</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gut</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met</m:t>
                </m:r>
              </m:e>
            </m:d>
          </m:sub>
        </m:sSub>
        <m:r>
          <w:rPr>
            <w:rFonts w:ascii="Cambria Math" w:hAnsi="Cambria Math" w:cs="Times New Roman"/>
            <w:sz w:val="20"/>
            <w:szCs w:val="20"/>
            <w:lang w:val="en-US"/>
          </w:rPr>
          <m:t>)</m:t>
        </m:r>
      </m:oMath>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t>(Eq. 13)</w:t>
      </w:r>
    </w:p>
    <w:p w14:paraId="01FAF327" w14:textId="77777777" w:rsidR="00182B94" w:rsidRPr="00B1334D" w:rsidRDefault="00182B94" w:rsidP="00182B94">
      <w:pPr>
        <w:rPr>
          <w:rFonts w:ascii="Times New Roman" w:hAnsi="Times New Roman" w:cs="Times New Roman"/>
          <w:sz w:val="20"/>
          <w:szCs w:val="20"/>
          <w:lang w:val="en-US"/>
        </w:rPr>
      </w:pPr>
      <m:oMath>
        <m:r>
          <w:rPr>
            <w:rFonts w:ascii="Cambria Math" w:hAnsi="Cambria Math" w:cs="Times New Roman"/>
            <w:sz w:val="20"/>
            <w:szCs w:val="20"/>
            <w:lang w:val="en-US"/>
          </w:rPr>
          <m:t>dt</m:t>
        </m:r>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rem[met]</m:t>
                </m:r>
              </m:sub>
            </m:sSub>
          </m:e>
        </m:d>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c</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skn</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liv</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gut</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art</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met</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rem</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met</m:t>
                </m:r>
              </m:e>
            </m:d>
          </m:sub>
        </m:sSub>
        <m:r>
          <w:rPr>
            <w:rFonts w:ascii="Cambria Math" w:hAnsi="Cambria Math" w:cs="Times New Roman"/>
            <w:sz w:val="20"/>
            <w:szCs w:val="20"/>
            <w:lang w:val="en-US"/>
          </w:rPr>
          <m:t>)</m:t>
        </m:r>
      </m:oMath>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t>(Eq. 14)</w:t>
      </w:r>
    </w:p>
    <w:p w14:paraId="134ED4BF" w14:textId="77777777" w:rsidR="00182B94" w:rsidRPr="000F4575" w:rsidRDefault="00182B94" w:rsidP="00182B94">
      <w:pPr>
        <w:rPr>
          <w:rFonts w:ascii="Cambria Math" w:hAnsi="Cambria Math" w:cs="Times New Roman"/>
          <w:iCs/>
          <w:sz w:val="20"/>
          <w:szCs w:val="20"/>
          <w:lang w:val="en-US"/>
        </w:rPr>
      </w:pPr>
      <m:oMath>
        <m:r>
          <w:rPr>
            <w:rFonts w:ascii="Cambria Math" w:hAnsi="Cambria Math" w:cs="Times New Roman"/>
            <w:sz w:val="20"/>
            <w:szCs w:val="20"/>
            <w:lang w:val="en-US"/>
          </w:rPr>
          <m:t>dt</m:t>
        </m:r>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ven[met]</m:t>
                </m:r>
              </m:sub>
            </m:sSub>
          </m:e>
        </m:d>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skn</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skn</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met</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liv</m:t>
            </m:r>
          </m:sub>
        </m:sSub>
        <m:r>
          <w:rPr>
            <w:rFonts w:ascii="Cambria Math" w:hAnsi="Cambria Math" w:cs="Times New Roman"/>
            <w:sz w:val="20"/>
            <w:szCs w:val="20"/>
            <w:lang w:val="en-US"/>
          </w:rPr>
          <m:t xml:space="preserve">+ </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gut</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liv</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met</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c</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skn</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liv</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gut</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rem</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met</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c</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ven</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met</m:t>
                </m:r>
              </m:e>
            </m:d>
          </m:sub>
        </m:sSub>
      </m:oMath>
      <w:r>
        <w:rPr>
          <w:rFonts w:ascii="Cambria Math" w:eastAsiaTheme="minorEastAsia" w:hAnsi="Cambria Math" w:cs="Times New Roman"/>
          <w:i/>
          <w:sz w:val="20"/>
          <w:szCs w:val="20"/>
          <w:lang w:val="en-US"/>
        </w:rPr>
        <w:tab/>
      </w:r>
      <w:r>
        <w:rPr>
          <w:rFonts w:ascii="Cambria Math" w:eastAsiaTheme="minorEastAsia" w:hAnsi="Cambria Math" w:cs="Times New Roman"/>
          <w:i/>
          <w:sz w:val="20"/>
          <w:szCs w:val="20"/>
          <w:lang w:val="en-US"/>
        </w:rPr>
        <w:tab/>
      </w:r>
      <w:r>
        <w:rPr>
          <w:rFonts w:ascii="Cambria Math" w:eastAsiaTheme="minorEastAsia" w:hAnsi="Cambria Math" w:cs="Times New Roman"/>
          <w:i/>
          <w:sz w:val="20"/>
          <w:szCs w:val="20"/>
          <w:lang w:val="en-US"/>
        </w:rPr>
        <w:tab/>
      </w:r>
      <w:r>
        <w:rPr>
          <w:rFonts w:ascii="Cambria Math" w:eastAsiaTheme="minorEastAsia" w:hAnsi="Cambria Math" w:cs="Times New Roman"/>
          <w:i/>
          <w:sz w:val="20"/>
          <w:szCs w:val="20"/>
          <w:lang w:val="en-US"/>
        </w:rPr>
        <w:tab/>
      </w:r>
      <w:r>
        <w:rPr>
          <w:rFonts w:ascii="Cambria Math" w:eastAsiaTheme="minorEastAsia" w:hAnsi="Cambria Math" w:cs="Times New Roman"/>
          <w:i/>
          <w:sz w:val="20"/>
          <w:szCs w:val="20"/>
          <w:lang w:val="en-US"/>
        </w:rPr>
        <w:tab/>
      </w:r>
      <w:r>
        <w:rPr>
          <w:rFonts w:ascii="Cambria Math" w:eastAsiaTheme="minorEastAsia" w:hAnsi="Cambria Math" w:cs="Times New Roman"/>
          <w:i/>
          <w:sz w:val="20"/>
          <w:szCs w:val="20"/>
          <w:lang w:val="en-US"/>
        </w:rPr>
        <w:tab/>
      </w:r>
      <w:r>
        <w:rPr>
          <w:rFonts w:ascii="Cambria Math" w:eastAsiaTheme="minorEastAsia" w:hAnsi="Cambria Math" w:cs="Times New Roman"/>
          <w:i/>
          <w:sz w:val="20"/>
          <w:szCs w:val="20"/>
          <w:lang w:val="en-US"/>
        </w:rPr>
        <w:tab/>
      </w:r>
      <w:r>
        <w:rPr>
          <w:rFonts w:ascii="Cambria Math" w:eastAsiaTheme="minorEastAsia" w:hAnsi="Cambria Math" w:cs="Times New Roman"/>
          <w:i/>
          <w:sz w:val="20"/>
          <w:szCs w:val="20"/>
          <w:lang w:val="en-US"/>
        </w:rPr>
        <w:tab/>
      </w:r>
      <w:r>
        <w:rPr>
          <w:rFonts w:ascii="Cambria Math" w:eastAsiaTheme="minorEastAsia" w:hAnsi="Cambria Math" w:cs="Times New Roman"/>
          <w:i/>
          <w:sz w:val="20"/>
          <w:szCs w:val="20"/>
          <w:lang w:val="en-US"/>
        </w:rPr>
        <w:tab/>
      </w:r>
      <w:r>
        <w:rPr>
          <w:rFonts w:ascii="Cambria Math" w:eastAsiaTheme="minorEastAsia" w:hAnsi="Cambria Math" w:cs="Times New Roman"/>
          <w:i/>
          <w:sz w:val="20"/>
          <w:szCs w:val="20"/>
          <w:lang w:val="en-US"/>
        </w:rPr>
        <w:tab/>
      </w:r>
      <w:r>
        <w:rPr>
          <w:rFonts w:ascii="Cambria Math" w:eastAsiaTheme="minorEastAsia" w:hAnsi="Cambria Math" w:cs="Times New Roman"/>
          <w:iCs/>
          <w:sz w:val="20"/>
          <w:szCs w:val="20"/>
          <w:lang w:val="en-US"/>
        </w:rPr>
        <w:t>(Eq. 15)</w:t>
      </w:r>
    </w:p>
    <w:p w14:paraId="524451FE" w14:textId="77777777" w:rsidR="00182B94" w:rsidRPr="00B1334D" w:rsidRDefault="00182B94" w:rsidP="00182B94">
      <w:pPr>
        <w:rPr>
          <w:rFonts w:ascii="Times New Roman" w:hAnsi="Times New Roman" w:cs="Times New Roman"/>
          <w:sz w:val="20"/>
          <w:szCs w:val="20"/>
          <w:lang w:val="en-US"/>
        </w:rPr>
      </w:pPr>
      <m:oMath>
        <m:r>
          <w:rPr>
            <w:rFonts w:ascii="Cambria Math" w:hAnsi="Cambria Math" w:cs="Times New Roman"/>
            <w:sz w:val="20"/>
            <w:szCs w:val="20"/>
            <w:lang w:val="en-US"/>
          </w:rPr>
          <m:t>dt</m:t>
        </m:r>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art[met]</m:t>
                </m:r>
              </m:sub>
            </m:sSub>
          </m:e>
        </m:d>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c</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vas</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met</m:t>
                </m:r>
              </m:e>
            </m:d>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art</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met</m:t>
                </m:r>
              </m:e>
            </m:d>
          </m:sub>
        </m:sSub>
        <m:r>
          <w:rPr>
            <w:rFonts w:ascii="Cambria Math" w:hAnsi="Cambria Math" w:cs="Times New Roman"/>
            <w:sz w:val="20"/>
            <w:szCs w:val="20"/>
            <w:lang w:val="en-US"/>
          </w:rPr>
          <m:t xml:space="preserve">)- </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Q</m:t>
            </m:r>
          </m:e>
          <m:sub>
            <m:r>
              <w:rPr>
                <w:rFonts w:ascii="Cambria Math" w:hAnsi="Cambria Math" w:cs="Times New Roman"/>
                <w:sz w:val="20"/>
                <w:szCs w:val="20"/>
                <w:lang w:val="en-US"/>
              </w:rPr>
              <m:t>gfr</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art</m:t>
            </m:r>
            <m:d>
              <m:dPr>
                <m:begChr m:val="["/>
                <m:endChr m:val="]"/>
                <m:ctrlPr>
                  <w:rPr>
                    <w:rFonts w:ascii="Cambria Math" w:hAnsi="Cambria Math" w:cs="Times New Roman"/>
                    <w:i/>
                    <w:sz w:val="20"/>
                    <w:szCs w:val="20"/>
                    <w:lang w:val="en-US"/>
                  </w:rPr>
                </m:ctrlPr>
              </m:dPr>
              <m:e>
                <m:r>
                  <w:rPr>
                    <w:rFonts w:ascii="Cambria Math" w:hAnsi="Cambria Math" w:cs="Times New Roman"/>
                    <w:sz w:val="20"/>
                    <w:szCs w:val="20"/>
                    <w:lang w:val="en-US"/>
                  </w:rPr>
                  <m:t>met</m:t>
                </m:r>
              </m:e>
            </m:d>
          </m:sub>
        </m:sSub>
      </m:oMath>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r>
      <w:r>
        <w:rPr>
          <w:rFonts w:ascii="Times New Roman" w:eastAsiaTheme="minorEastAsia" w:hAnsi="Times New Roman" w:cs="Times New Roman"/>
          <w:sz w:val="20"/>
          <w:szCs w:val="20"/>
          <w:lang w:val="en-US"/>
        </w:rPr>
        <w:tab/>
        <w:t>(Eq. 16)</w:t>
      </w:r>
    </w:p>
    <w:p w14:paraId="220A6D5E" w14:textId="77777777" w:rsidR="00182B94" w:rsidRPr="00E92F96" w:rsidRDefault="00182B94" w:rsidP="00182B94">
      <w:pPr>
        <w:rPr>
          <w:lang w:val="en-US"/>
        </w:rPr>
      </w:pPr>
    </w:p>
    <w:p w14:paraId="6D1716C8" w14:textId="77777777" w:rsidR="00954A7B" w:rsidRDefault="00954A7B">
      <w:pPr>
        <w:rPr>
          <w:rFonts w:asciiTheme="majorHAnsi" w:eastAsiaTheme="majorEastAsia" w:hAnsiTheme="majorHAnsi" w:cstheme="majorBidi"/>
          <w:color w:val="2F5496" w:themeColor="accent1" w:themeShade="BF"/>
          <w:sz w:val="32"/>
          <w:szCs w:val="32"/>
          <w:lang w:val="en-US"/>
        </w:rPr>
      </w:pPr>
      <w:r>
        <w:rPr>
          <w:lang w:val="en-US"/>
        </w:rPr>
        <w:br w:type="page"/>
      </w:r>
    </w:p>
    <w:p w14:paraId="20D4A9B0" w14:textId="3B123830" w:rsidR="004D7210" w:rsidRDefault="004D7210" w:rsidP="004D7210">
      <w:pPr>
        <w:pStyle w:val="Heading1"/>
        <w:rPr>
          <w:lang w:val="en-US"/>
        </w:rPr>
      </w:pPr>
      <w:r>
        <w:rPr>
          <w:lang w:val="en-US"/>
        </w:rPr>
        <w:lastRenderedPageBreak/>
        <w:t xml:space="preserve">Appendix </w:t>
      </w:r>
      <w:r w:rsidR="00954A7B">
        <w:rPr>
          <w:lang w:val="en-US"/>
        </w:rPr>
        <w:t>B</w:t>
      </w:r>
      <w:r>
        <w:rPr>
          <w:lang w:val="en-US"/>
        </w:rPr>
        <w:t xml:space="preserve"> – Background information on model parameters</w:t>
      </w:r>
    </w:p>
    <w:p w14:paraId="197E9018" w14:textId="77777777" w:rsidR="004D7210" w:rsidRDefault="004D7210" w:rsidP="004D7210">
      <w:pPr>
        <w:rPr>
          <w:rFonts w:ascii="Times New Roman" w:hAnsi="Times New Roman" w:cs="Times New Roman"/>
          <w:sz w:val="24"/>
          <w:szCs w:val="24"/>
          <w:lang w:val="en-US"/>
        </w:rPr>
      </w:pPr>
    </w:p>
    <w:p w14:paraId="276AA351" w14:textId="207905DD" w:rsidR="004D7210" w:rsidRDefault="004D7210" w:rsidP="004D7210">
      <w:pPr>
        <w:rPr>
          <w:lang w:val="en-US"/>
        </w:rPr>
      </w:pPr>
      <w:r>
        <w:rPr>
          <w:rFonts w:ascii="Times New Roman" w:hAnsi="Times New Roman" w:cs="Times New Roman"/>
          <w:sz w:val="24"/>
          <w:szCs w:val="24"/>
          <w:lang w:val="en-US"/>
        </w:rPr>
        <w:t>Several controlled human exposure studies were used to inform on model parameters. Briefly about these studies: i</w:t>
      </w:r>
      <w:r w:rsidRPr="00E14F52">
        <w:rPr>
          <w:rFonts w:ascii="Times New Roman" w:hAnsi="Times New Roman" w:cs="Times New Roman"/>
          <w:sz w:val="24"/>
          <w:szCs w:val="24"/>
          <w:lang w:val="en-US"/>
        </w:rPr>
        <w:t>n the study by</w:t>
      </w:r>
      <w:r w:rsidR="008705A7">
        <w:rPr>
          <w:rFonts w:ascii="Times New Roman" w:hAnsi="Times New Roman" w:cs="Times New Roman"/>
          <w:sz w:val="24"/>
          <w:szCs w:val="24"/>
          <w:lang w:val="en-US"/>
        </w:rPr>
        <w:t xml:space="preserve"> </w:t>
      </w:r>
      <w:r w:rsidR="008705A7">
        <w:rPr>
          <w:rFonts w:ascii="Times New Roman" w:hAnsi="Times New Roman" w:cs="Times New Roman"/>
          <w:sz w:val="24"/>
          <w:szCs w:val="24"/>
          <w:lang w:val="en-US"/>
        </w:rPr>
        <w:fldChar w:fldCharType="begin" w:fldLock="1"/>
      </w:r>
      <w:r w:rsidR="008705A7">
        <w:rPr>
          <w:rFonts w:ascii="Times New Roman" w:hAnsi="Times New Roman" w:cs="Times New Roman"/>
          <w:sz w:val="24"/>
          <w:szCs w:val="24"/>
          <w:lang w:val="en-US"/>
        </w:rPr>
        <w:instrText>ADDIN CSL_CITATION {"citationItems":[{"id":"ITEM-1","itemData":{"DOI":"10.1007/bf00386374","ISSN":"0340-0131","author":[{"dropping-particle":"","family":"Brorson","given":"Torbjorn","non-dropping-particle":"","parse-names":false,"suffix":""},{"dropping-particle":"","family":"Skarping","given":"Gunnar","non-dropping-particle":"","parse-names":false,"suffix":""},{"dropping-particle":"","family":"Sango","given":"Carsten","non-dropping-particle":"","parse-names":false,"suffix":""}],"container-title":"International Archives of Occupational and Environmental Health","id":"ITEM-1","issued":{"date-parts":[["1991"]]},"title":"Biological monitoring of isocyanates and related amines","type":"article-journal"},"uris":["http://www.mendeley.com/documents/?uuid=fee44563-f249-4d21-96c4-6d2ec35c0972"]}],"mendeley":{"formattedCitation":"(Brorson, Skarping, and Sango 1991)","manualFormatting":"Brorson, Skarping, and Sango (1991)","plainTextFormattedCitation":"(Brorson, Skarping, and Sango 1991)","previouslyFormattedCitation":"(Brorson, Skarping, and Sango 1991)"},"properties":{"noteIndex":0},"schema":"https://github.com/citation-style-language/schema/raw/master/csl-citation.json"}</w:instrText>
      </w:r>
      <w:r w:rsidR="008705A7">
        <w:rPr>
          <w:rFonts w:ascii="Times New Roman" w:hAnsi="Times New Roman" w:cs="Times New Roman"/>
          <w:sz w:val="24"/>
          <w:szCs w:val="24"/>
          <w:lang w:val="en-US"/>
        </w:rPr>
        <w:fldChar w:fldCharType="separate"/>
      </w:r>
      <w:r w:rsidR="008705A7" w:rsidRPr="008705A7">
        <w:rPr>
          <w:rFonts w:ascii="Times New Roman" w:hAnsi="Times New Roman" w:cs="Times New Roman"/>
          <w:noProof/>
          <w:sz w:val="24"/>
          <w:szCs w:val="24"/>
          <w:lang w:val="en-US"/>
        </w:rPr>
        <w:t xml:space="preserve">Brorson, Skarping, and Sango </w:t>
      </w:r>
      <w:r w:rsidR="008705A7">
        <w:rPr>
          <w:rFonts w:ascii="Times New Roman" w:hAnsi="Times New Roman" w:cs="Times New Roman"/>
          <w:noProof/>
          <w:sz w:val="24"/>
          <w:szCs w:val="24"/>
          <w:lang w:val="en-US"/>
        </w:rPr>
        <w:t>(</w:t>
      </w:r>
      <w:r w:rsidR="008705A7" w:rsidRPr="008705A7">
        <w:rPr>
          <w:rFonts w:ascii="Times New Roman" w:hAnsi="Times New Roman" w:cs="Times New Roman"/>
          <w:noProof/>
          <w:sz w:val="24"/>
          <w:szCs w:val="24"/>
          <w:lang w:val="en-US"/>
        </w:rPr>
        <w:t>1991)</w:t>
      </w:r>
      <w:r w:rsidR="008705A7">
        <w:rPr>
          <w:rFonts w:ascii="Times New Roman" w:hAnsi="Times New Roman" w:cs="Times New Roman"/>
          <w:sz w:val="24"/>
          <w:szCs w:val="24"/>
          <w:lang w:val="en-US"/>
        </w:rPr>
        <w:fldChar w:fldCharType="end"/>
      </w:r>
      <w:r w:rsidRPr="00E14F52">
        <w:rPr>
          <w:rFonts w:ascii="Times New Roman" w:hAnsi="Times New Roman" w:cs="Times New Roman"/>
          <w:sz w:val="24"/>
          <w:szCs w:val="24"/>
          <w:lang w:val="en-US"/>
        </w:rPr>
        <w:t xml:space="preserve"> two healthy </w:t>
      </w:r>
      <w:r>
        <w:rPr>
          <w:rFonts w:ascii="Times New Roman" w:hAnsi="Times New Roman" w:cs="Times New Roman"/>
          <w:sz w:val="24"/>
          <w:szCs w:val="24"/>
          <w:lang w:val="en-US"/>
        </w:rPr>
        <w:t xml:space="preserve">male volunteers </w:t>
      </w:r>
      <w:r w:rsidRPr="00E14F52">
        <w:rPr>
          <w:rFonts w:ascii="Times New Roman" w:hAnsi="Times New Roman" w:cs="Times New Roman"/>
          <w:sz w:val="24"/>
          <w:szCs w:val="24"/>
          <w:lang w:val="en-US"/>
        </w:rPr>
        <w:t>were exposed to diisocyanates in a test chamber. Both were occupational hygienist</w:t>
      </w:r>
      <w:r>
        <w:rPr>
          <w:rFonts w:ascii="Times New Roman" w:hAnsi="Times New Roman" w:cs="Times New Roman"/>
          <w:sz w:val="24"/>
          <w:szCs w:val="24"/>
          <w:lang w:val="en-US"/>
        </w:rPr>
        <w:t>s</w:t>
      </w:r>
      <w:r w:rsidRPr="00E14F52">
        <w:rPr>
          <w:rFonts w:ascii="Times New Roman" w:hAnsi="Times New Roman" w:cs="Times New Roman"/>
          <w:sz w:val="24"/>
          <w:szCs w:val="24"/>
          <w:lang w:val="en-US"/>
        </w:rPr>
        <w:t xml:space="preserve"> and had occasional exposure to diisocyanates. The volunteers remained at physical rest during the </w:t>
      </w:r>
      <w:proofErr w:type="gramStart"/>
      <w:r w:rsidRPr="00E14F52">
        <w:rPr>
          <w:rFonts w:ascii="Times New Roman" w:hAnsi="Times New Roman" w:cs="Times New Roman"/>
          <w:sz w:val="24"/>
          <w:szCs w:val="24"/>
          <w:lang w:val="en-US"/>
        </w:rPr>
        <w:t>exposure, and</w:t>
      </w:r>
      <w:proofErr w:type="gramEnd"/>
      <w:r w:rsidRPr="00E14F52">
        <w:rPr>
          <w:rFonts w:ascii="Times New Roman" w:hAnsi="Times New Roman" w:cs="Times New Roman"/>
          <w:sz w:val="24"/>
          <w:szCs w:val="24"/>
          <w:lang w:val="en-US"/>
        </w:rPr>
        <w:t xml:space="preserve"> were exposed for four hours to various TDI concentrations. All urine was repeatedly collected at 2-h intervals for up to 14 or 16 h after the start of exposure and then at an 8-h interval during the following night. </w:t>
      </w:r>
      <w:r w:rsidRPr="00836782">
        <w:rPr>
          <w:rFonts w:ascii="Times New Roman" w:hAnsi="Times New Roman" w:cs="Times New Roman"/>
          <w:sz w:val="24"/>
          <w:szCs w:val="24"/>
          <w:lang w:val="en-US"/>
        </w:rPr>
        <w:t>In the study by</w:t>
      </w:r>
      <w:r w:rsidR="008705A7">
        <w:rPr>
          <w:rFonts w:ascii="Times New Roman" w:hAnsi="Times New Roman" w:cs="Times New Roman"/>
          <w:sz w:val="24"/>
          <w:szCs w:val="24"/>
          <w:lang w:val="en-US"/>
        </w:rPr>
        <w:t xml:space="preserve"> </w:t>
      </w:r>
      <w:r w:rsidR="008705A7">
        <w:rPr>
          <w:rFonts w:ascii="Times New Roman" w:hAnsi="Times New Roman" w:cs="Times New Roman"/>
          <w:sz w:val="24"/>
          <w:szCs w:val="24"/>
          <w:lang w:val="en-US"/>
        </w:rPr>
        <w:fldChar w:fldCharType="begin" w:fldLock="1"/>
      </w:r>
      <w:r w:rsidR="008705A7">
        <w:rPr>
          <w:rFonts w:ascii="Times New Roman" w:hAnsi="Times New Roman" w:cs="Times New Roman"/>
          <w:sz w:val="24"/>
          <w:szCs w:val="24"/>
          <w:lang w:val="en-US"/>
        </w:rPr>
        <w:instrText>ADDIN CSL_CITATION {"citationItems":[{"id":"ITEM-1","itemData":{"DOI":"10.1007/BF00379069","ISSN":"1432-1246","PMID":"1653771","abstract":"Five men were exposed to toluene diisocyanate (TDI) atmospheres for 7.5 h. The TDI atmospheres were generated by a gas-phase permeation method, and the exposures were performed in an 8-m3 stainless-steel test chamber. The mean air concentration of TDI was ca. 40 μg/m3, which corresponds to the threshold limit value (TLV) of Sweden. The inhaled doses of 2,4- and 2,6-TDI were ca. 120 μg. TDI in the test chamber air was determined by an HPLC method using the 9-(N-methyl-aminomethyl)-anthracene reagent and by a continuous-monitoring filter-tape instrument. After hydrolysis of plasma and urine, the related amines, 2,4- and 2,6-toluenediamine 2,4-, and 2,6-TDA), were determined as pentafluoropropionic anhydride (PFPA) derivatives by capillary gas-chromatography using selected ion monitoring (SIM) in the electron-impact mode. The urinary elimination of the TDAs showed a possible biphasic pattern, with rapid first phases for 2,4-TDA (mean t 1/2 for the concentration in urine, 1.9 h) and for 2,6-TDA (mean t 1/2 for the concentration in urine, 1.6 h). The cumulative amount of 2,4-TDA excreted in urine within 28 h ranged from 8% to 14% of the estimated dose of 2,4-TDI, and the cumulative amount of 2,6-TDA in urine ranged from 14% to 18% of the 2,6-TDI dose. The average urinary level of 2,4-TDA was 5 μg/l in the 6 to 8-h sample (range 2.8–9.6 μg/l), and the corresponding value for 2,6-TDA was 8.6 μg/l (range, 5.6–16.6 μg/l). Biological monitoring of exposure to 2,4- and 2,6-TDI by analysis of 2,4- and 2,6-TDA in urine is feasible.","author":[{"dropping-particle":"","family":"Skarping","given":"Gunnar","non-dropping-particle":"","parse-names":false,"suffix":""},{"dropping-particle":"","family":"Brorson","given":"Torhjörn","non-dropping-particle":"","parse-names":false,"suffix":""},{"dropping-particle":"","family":"Sangö","given":"Carsten","non-dropping-particle":"","parse-names":false,"suffix":""}],"container-title":"International Archives of Occupational and Environmental Health 1991 63:2","id":"ITEM-1","issue":"2","issued":{"date-parts":[["1991","6"]]},"page":"83-88","publisher":"Springer","title":"Biological monitoring of isocyanates and related amines","type":"article-journal","volume":"63"},"uris":["http://www.mendeley.com/documents/?uuid=4d03f578-6ec7-37aa-a819-313927d86e15"]}],"mendeley":{"formattedCitation":"(Skarping, Brorson, and Sangö 1991)","manualFormatting":"Skarping, Brorson, and Sangö (1991)","plainTextFormattedCitation":"(Skarping, Brorson, and Sangö 1991)","previouslyFormattedCitation":"(Skarping, Brorson, and Sangö 1991)"},"properties":{"noteIndex":0},"schema":"https://github.com/citation-style-language/schema/raw/master/csl-citation.json"}</w:instrText>
      </w:r>
      <w:r w:rsidR="008705A7">
        <w:rPr>
          <w:rFonts w:ascii="Times New Roman" w:hAnsi="Times New Roman" w:cs="Times New Roman"/>
          <w:sz w:val="24"/>
          <w:szCs w:val="24"/>
          <w:lang w:val="en-US"/>
        </w:rPr>
        <w:fldChar w:fldCharType="separate"/>
      </w:r>
      <w:r w:rsidR="008705A7" w:rsidRPr="008705A7">
        <w:rPr>
          <w:rFonts w:ascii="Times New Roman" w:hAnsi="Times New Roman" w:cs="Times New Roman"/>
          <w:noProof/>
          <w:sz w:val="24"/>
          <w:szCs w:val="24"/>
          <w:lang w:val="en-US"/>
        </w:rPr>
        <w:t xml:space="preserve">Skarping, Brorson, and Sangö </w:t>
      </w:r>
      <w:r w:rsidR="008705A7">
        <w:rPr>
          <w:rFonts w:ascii="Times New Roman" w:hAnsi="Times New Roman" w:cs="Times New Roman"/>
          <w:noProof/>
          <w:sz w:val="24"/>
          <w:szCs w:val="24"/>
          <w:lang w:val="en-US"/>
        </w:rPr>
        <w:t>(</w:t>
      </w:r>
      <w:r w:rsidR="008705A7" w:rsidRPr="008705A7">
        <w:rPr>
          <w:rFonts w:ascii="Times New Roman" w:hAnsi="Times New Roman" w:cs="Times New Roman"/>
          <w:noProof/>
          <w:sz w:val="24"/>
          <w:szCs w:val="24"/>
          <w:lang w:val="en-US"/>
        </w:rPr>
        <w:t>1991)</w:t>
      </w:r>
      <w:r w:rsidR="008705A7">
        <w:rPr>
          <w:rFonts w:ascii="Times New Roman" w:hAnsi="Times New Roman" w:cs="Times New Roman"/>
          <w:sz w:val="24"/>
          <w:szCs w:val="24"/>
          <w:lang w:val="en-US"/>
        </w:rPr>
        <w:fldChar w:fldCharType="end"/>
      </w:r>
      <w:r w:rsidR="008705A7">
        <w:rPr>
          <w:rFonts w:ascii="Times New Roman" w:hAnsi="Times New Roman" w:cs="Times New Roman"/>
          <w:sz w:val="24"/>
          <w:szCs w:val="24"/>
          <w:lang w:val="en-US"/>
        </w:rPr>
        <w:t xml:space="preserve">, </w:t>
      </w:r>
      <w:r w:rsidRPr="00836782">
        <w:rPr>
          <w:rFonts w:ascii="Times New Roman" w:hAnsi="Times New Roman" w:cs="Times New Roman"/>
          <w:sz w:val="24"/>
          <w:szCs w:val="24"/>
          <w:lang w:val="en-US"/>
        </w:rPr>
        <w:t xml:space="preserve">five </w:t>
      </w:r>
      <w:r>
        <w:rPr>
          <w:rFonts w:ascii="Times New Roman" w:hAnsi="Times New Roman" w:cs="Times New Roman"/>
          <w:sz w:val="24"/>
          <w:szCs w:val="24"/>
          <w:lang w:val="en-US"/>
        </w:rPr>
        <w:t xml:space="preserve">healthy male volunteers </w:t>
      </w:r>
      <w:r w:rsidRPr="00836782">
        <w:rPr>
          <w:rFonts w:ascii="Times New Roman" w:hAnsi="Times New Roman" w:cs="Times New Roman"/>
          <w:sz w:val="24"/>
          <w:szCs w:val="24"/>
          <w:lang w:val="en-US"/>
        </w:rPr>
        <w:t>were exposed to TDI for 7.5 hours.</w:t>
      </w:r>
      <w:r>
        <w:rPr>
          <w:rFonts w:ascii="Times New Roman" w:hAnsi="Times New Roman" w:cs="Times New Roman"/>
          <w:sz w:val="24"/>
          <w:szCs w:val="24"/>
          <w:lang w:val="en-US"/>
        </w:rPr>
        <w:t xml:space="preserve"> Urine was collected at 2 hour intervals up to 15 hours after exposure had started, and then at 8 and 4 hour intervals.</w:t>
      </w:r>
      <w:r w:rsidR="008705A7">
        <w:rPr>
          <w:rFonts w:ascii="Times New Roman" w:hAnsi="Times New Roman" w:cs="Times New Roman"/>
          <w:sz w:val="24"/>
          <w:szCs w:val="24"/>
          <w:lang w:val="en-US"/>
        </w:rPr>
        <w:t xml:space="preserve"> </w:t>
      </w:r>
      <w:r w:rsidR="008705A7">
        <w:rPr>
          <w:rFonts w:ascii="Times New Roman" w:hAnsi="Times New Roman" w:cs="Times New Roman"/>
          <w:sz w:val="24"/>
          <w:szCs w:val="24"/>
          <w:lang w:val="en-US"/>
        </w:rPr>
        <w:fldChar w:fldCharType="begin" w:fldLock="1"/>
      </w:r>
      <w:r w:rsidR="008705A7">
        <w:rPr>
          <w:rFonts w:ascii="Times New Roman" w:hAnsi="Times New Roman" w:cs="Times New Roman"/>
          <w:sz w:val="24"/>
          <w:szCs w:val="24"/>
          <w:lang w:val="en-US"/>
        </w:rPr>
        <w:instrText>ADDIN CSL_CITATION {"citationItems":[{"id":"ITEM-1","itemData":{"DOI":"10.1186/1745-6673-6-9","ISSN":"17456673","abstract":"Background: Isocyanates are some of the leading occupational causes of respiratory disorders, predominantly asthma. Adequate exposure monitoring may recognize risk factors and help to prevent the onset or aggravation of these aliments. Though, the biomonitoring appears to be most suitable for exposure assessment, the sampling time is critical, however. In order to settle the optimal time point for the sample collection in a practical biomonitoring approach, we aimed to measure the elimination of isocyanate urine metabolites. Methods. A simple biomonitoring method enabling detection of all major diamine metabolites, from mono-, poly- and diisocyanates in one analytical step, has been established. Urine samples from 121 patients undergoing inhalative challenge tests with diisocyanates for diagnostic reasons were separated by gas chromatography and analyzed with mass spectrometry (GC-MS) at various time points (0-24 h) after the onset of exposure. Results: After controlled exposures to different concentrations of diisocyanates (496 102 ppb-min or 1560 420 ppb-min) the elimination kinetics (of respective isocyanate diamine metabolites) revealed differences between aliphatic and aromatic isocyanates (the latter exhibiting a slower elimination) and a dose-response relationship. No significant differences were observed, however, when the elimination time patterns for individual isocyanates were compared, in respect of either low or high exposure or in relation to the presence or absence of prior immunological sensitization. Conclusions: The detection of isocyanate metabolites in hydrolyzed urine with the help of gas chromatography combined with mass spectrometric detection system appears to be the most suitable, reliable and sensitive method to monitor possible isocyanate uptake by an individual. Additionally, the information on elimination kinetic patterns must be factored into estimates of isocyanate uptake before it is possible for biomonitoring to provide realistic assessments of isocyanate exposure. The pathophysiological elimination of 1,6-hexamethylene diamine, 2,4-diamine toluene, 2,6-diamine toluene, 1,5-naphthalene diamine, 4,4'-diphenylmethane diamine and isophorone diamines (as respective metabolites of: 1,6-hexamethylene diisocyanate, 2,4-toluene diisocyanate and 2,6 toluene diisocyanate, 1,5-naphthalene diisocyanate, 4,4'-diphenylmethane diisocyanate and isophorone diisocyanates) differs between individual isocyanates' diamines. © 2011 Budnik et …","author":[{"dropping-particle":"","family":"Budnik","given":"Lygia T.","non-dropping-particle":"","parse-names":false,"suffix":""},{"dropping-particle":"","family":"Nowak","given":"Dennis","non-dropping-particle":"","parse-names":false,"suffix":""},{"dropping-particle":"","family":"Merget","given":"Rolf","non-dropping-particle":"","parse-names":false,"suffix":""},{"dropping-particle":"","family":"Lemiere","given":"Catherine","non-dropping-particle":"","parse-names":false,"suffix":""},{"dropping-particle":"","family":"Baur","given":"Xaver","non-dropping-particle":"","parse-names":false,"suffix":""}],"container-title":"Journal of Occupational Medicine and Toxicology","id":"ITEM-1","issued":{"date-parts":[["2011"]]},"title":"Elimination kinetics of diisocyanates after specific inhalative challenges in humans: Mass spectrometry analysis, as a basis for biomonitoring strategies","type":"article-journal"},"uris":["http://www.mendeley.com/documents/?uuid=ece18085-13e8-45df-91d5-0189d4516771"]}],"mendeley":{"formattedCitation":"(Budnik et al. 2011)","manualFormatting":"Budnik et al. (2011)","plainTextFormattedCitation":"(Budnik et al. 2011)","previouslyFormattedCitation":"(Budnik et al. 2011)"},"properties":{"noteIndex":0},"schema":"https://github.com/citation-style-language/schema/raw/master/csl-citation.json"}</w:instrText>
      </w:r>
      <w:r w:rsidR="008705A7">
        <w:rPr>
          <w:rFonts w:ascii="Times New Roman" w:hAnsi="Times New Roman" w:cs="Times New Roman"/>
          <w:sz w:val="24"/>
          <w:szCs w:val="24"/>
          <w:lang w:val="en-US"/>
        </w:rPr>
        <w:fldChar w:fldCharType="separate"/>
      </w:r>
      <w:r w:rsidR="008705A7" w:rsidRPr="008705A7">
        <w:rPr>
          <w:rFonts w:ascii="Times New Roman" w:hAnsi="Times New Roman" w:cs="Times New Roman"/>
          <w:noProof/>
          <w:sz w:val="24"/>
          <w:szCs w:val="24"/>
          <w:lang w:val="en-US"/>
        </w:rPr>
        <w:t xml:space="preserve">Budnik et al. </w:t>
      </w:r>
      <w:r w:rsidR="008705A7">
        <w:rPr>
          <w:rFonts w:ascii="Times New Roman" w:hAnsi="Times New Roman" w:cs="Times New Roman"/>
          <w:noProof/>
          <w:sz w:val="24"/>
          <w:szCs w:val="24"/>
          <w:lang w:val="en-US"/>
        </w:rPr>
        <w:t>(</w:t>
      </w:r>
      <w:r w:rsidR="008705A7" w:rsidRPr="008705A7">
        <w:rPr>
          <w:rFonts w:ascii="Times New Roman" w:hAnsi="Times New Roman" w:cs="Times New Roman"/>
          <w:noProof/>
          <w:sz w:val="24"/>
          <w:szCs w:val="24"/>
          <w:lang w:val="en-US"/>
        </w:rPr>
        <w:t>2011)</w:t>
      </w:r>
      <w:r w:rsidR="008705A7">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exposed workers to several diisocyanates, including MDI and TDI, </w:t>
      </w:r>
      <w:r w:rsidRPr="00DD7344">
        <w:rPr>
          <w:rFonts w:ascii="Times New Roman" w:hAnsi="Times New Roman" w:cs="Times New Roman"/>
          <w:sz w:val="24"/>
          <w:szCs w:val="24"/>
          <w:lang w:val="en-US"/>
        </w:rPr>
        <w:t>for 2 hours</w:t>
      </w:r>
      <w:r>
        <w:rPr>
          <w:rFonts w:ascii="Times New Roman" w:hAnsi="Times New Roman" w:cs="Times New Roman"/>
          <w:sz w:val="24"/>
          <w:szCs w:val="24"/>
          <w:lang w:val="en-US"/>
        </w:rPr>
        <w:t xml:space="preserve">, with urine collections at </w:t>
      </w:r>
      <w:r w:rsidRPr="00DD7344">
        <w:rPr>
          <w:rFonts w:ascii="Times New Roman" w:hAnsi="Times New Roman" w:cs="Times New Roman"/>
          <w:sz w:val="24"/>
          <w:szCs w:val="24"/>
          <w:lang w:val="en-US"/>
        </w:rPr>
        <w:t>3, 6, 9, 12 and 20 hours.</w:t>
      </w:r>
    </w:p>
    <w:p w14:paraId="41080F8D" w14:textId="4D53B37F" w:rsidR="004D7210" w:rsidRDefault="004D7210" w:rsidP="004D7210">
      <w:pPr>
        <w:pStyle w:val="Default"/>
        <w:rPr>
          <w:lang w:val="en-US"/>
        </w:rPr>
      </w:pPr>
      <w:r w:rsidRPr="00B97D19">
        <w:rPr>
          <w:lang w:val="en-US"/>
        </w:rPr>
        <w:t xml:space="preserve">In the study by </w:t>
      </w:r>
      <w:r w:rsidR="008705A7">
        <w:rPr>
          <w:lang w:val="en-US"/>
        </w:rPr>
        <w:fldChar w:fldCharType="begin" w:fldLock="1"/>
      </w:r>
      <w:r w:rsidR="008705A7">
        <w:rPr>
          <w:lang w:val="en-US"/>
        </w:rPr>
        <w:instrText>ADDIN CSL_CITATION {"citationItems":[{"id":"ITEM-1","itemData":{"DOI":"10.1007/bf00386374","ISSN":"0340-0131","author":[{"dropping-particle":"","family":"Brorson","given":"Torbjorn","non-dropping-particle":"","parse-names":false,"suffix":""},{"dropping-particle":"","family":"Skarping","given":"Gunnar","non-dropping-particle":"","parse-names":false,"suffix":""},{"dropping-particle":"","family":"Sango","given":"Carsten","non-dropping-particle":"","parse-names":false,"suffix":""}],"container-title":"International Archives of Occupational and Environmental Health","id":"ITEM-1","issued":{"date-parts":[["1991"]]},"title":"Biological monitoring of isocyanates and related amines","type":"article-journal"},"uris":["http://www.mendeley.com/documents/?uuid=fee44563-f249-4d21-96c4-6d2ec35c0972"]}],"mendeley":{"formattedCitation":"(Brorson, Skarping, and Sango 1991)","manualFormatting":"Brorson, Skarping, and Sango (1991)","plainTextFormattedCitation":"(Brorson, Skarping, and Sango 1991)","previouslyFormattedCitation":"(Brorson, Skarping, and Sango 1991)"},"properties":{"noteIndex":0},"schema":"https://github.com/citation-style-language/schema/raw/master/csl-citation.json"}</w:instrText>
      </w:r>
      <w:r w:rsidR="008705A7">
        <w:rPr>
          <w:lang w:val="en-US"/>
        </w:rPr>
        <w:fldChar w:fldCharType="separate"/>
      </w:r>
      <w:r w:rsidR="008705A7" w:rsidRPr="008705A7">
        <w:rPr>
          <w:noProof/>
          <w:lang w:val="en-US"/>
        </w:rPr>
        <w:t xml:space="preserve">Brorson, Skarping, and Sango </w:t>
      </w:r>
      <w:r w:rsidR="008705A7">
        <w:rPr>
          <w:noProof/>
          <w:lang w:val="en-US"/>
        </w:rPr>
        <w:t>(</w:t>
      </w:r>
      <w:r w:rsidR="008705A7" w:rsidRPr="008705A7">
        <w:rPr>
          <w:noProof/>
          <w:lang w:val="en-US"/>
        </w:rPr>
        <w:t>1991)</w:t>
      </w:r>
      <w:r w:rsidR="008705A7">
        <w:rPr>
          <w:lang w:val="en-US"/>
        </w:rPr>
        <w:fldChar w:fldCharType="end"/>
      </w:r>
      <w:r w:rsidR="008705A7">
        <w:rPr>
          <w:lang w:val="en-US"/>
        </w:rPr>
        <w:t xml:space="preserve"> </w:t>
      </w:r>
      <w:r>
        <w:rPr>
          <w:lang w:val="en-US"/>
        </w:rPr>
        <w:t xml:space="preserve">the </w:t>
      </w:r>
      <w:r w:rsidRPr="001D3C62">
        <w:rPr>
          <w:lang w:val="en-US"/>
        </w:rPr>
        <w:t>cumulated amount of</w:t>
      </w:r>
      <w:r>
        <w:rPr>
          <w:lang w:val="en-US"/>
        </w:rPr>
        <w:t xml:space="preserve"> </w:t>
      </w:r>
      <w:r w:rsidRPr="001D3C62">
        <w:rPr>
          <w:lang w:val="en-US"/>
        </w:rPr>
        <w:t>2,4-TDA excreted in the urine over 24 h was ca 15% -</w:t>
      </w:r>
      <w:r>
        <w:rPr>
          <w:lang w:val="en-US"/>
        </w:rPr>
        <w:t xml:space="preserve"> </w:t>
      </w:r>
      <w:r w:rsidRPr="001D3C62">
        <w:rPr>
          <w:lang w:val="en-US"/>
        </w:rPr>
        <w:t>19% of the estimated inhaled dose of 2,4-TDI, and that</w:t>
      </w:r>
      <w:r>
        <w:rPr>
          <w:lang w:val="en-US"/>
        </w:rPr>
        <w:t xml:space="preserve"> </w:t>
      </w:r>
      <w:r w:rsidRPr="001D3C62">
        <w:rPr>
          <w:lang w:val="en-US"/>
        </w:rPr>
        <w:t>of 2,6-TDA was ca 17%</w:t>
      </w:r>
      <w:r>
        <w:rPr>
          <w:lang w:val="en-US"/>
        </w:rPr>
        <w:t xml:space="preserve"> </w:t>
      </w:r>
      <w:r w:rsidRPr="001D3C62">
        <w:rPr>
          <w:lang w:val="en-US"/>
        </w:rPr>
        <w:t>-</w:t>
      </w:r>
      <w:r>
        <w:rPr>
          <w:lang w:val="en-US"/>
        </w:rPr>
        <w:t xml:space="preserve"> </w:t>
      </w:r>
      <w:r w:rsidRPr="001D3C62">
        <w:rPr>
          <w:lang w:val="en-US"/>
        </w:rPr>
        <w:t xml:space="preserve">23% of the </w:t>
      </w:r>
      <w:r>
        <w:rPr>
          <w:lang w:val="en-US"/>
        </w:rPr>
        <w:t xml:space="preserve">estimated </w:t>
      </w:r>
      <w:r w:rsidRPr="001D3C62">
        <w:rPr>
          <w:lang w:val="en-US"/>
        </w:rPr>
        <w:t>inhaled dose of</w:t>
      </w:r>
      <w:r>
        <w:rPr>
          <w:lang w:val="en-US"/>
        </w:rPr>
        <w:t xml:space="preserve"> </w:t>
      </w:r>
      <w:r w:rsidRPr="001D3C62">
        <w:rPr>
          <w:lang w:val="en-US"/>
        </w:rPr>
        <w:t>2,6-TDI</w:t>
      </w:r>
      <w:r>
        <w:rPr>
          <w:lang w:val="en-US"/>
        </w:rPr>
        <w:t xml:space="preserve">. Brorson et al. report that the uptake of TDAs by the blood continues to increase slightly post exposure. In the study by </w:t>
      </w:r>
      <w:r w:rsidR="008705A7">
        <w:rPr>
          <w:lang w:val="en-US"/>
        </w:rPr>
        <w:fldChar w:fldCharType="begin" w:fldLock="1"/>
      </w:r>
      <w:r w:rsidR="008705A7">
        <w:rPr>
          <w:lang w:val="en-US"/>
        </w:rPr>
        <w:instrText>ADDIN CSL_CITATION {"citationItems":[{"id":"ITEM-1","itemData":{"DOI":"10.1007/BF00379069","ISSN":"1432-1246","PMID":"1653771","abstract":"Five men were exposed to toluene diisocyanate (TDI) atmospheres for 7.5 h. The TDI atmospheres were generated by a gas-phase permeation method, and the exposures were performed in an 8-m3 stainless-steel test chamber. The mean air concentration of TDI was ca. 40 μg/m3, which corresponds to the threshold limit value (TLV) of Sweden. The inhaled doses of 2,4- and 2,6-TDI were ca. 120 μg. TDI in the test chamber air was determined by an HPLC method using the 9-(N-methyl-aminomethyl)-anthracene reagent and by a continuous-monitoring filter-tape instrument. After hydrolysis of plasma and urine, the related amines, 2,4- and 2,6-toluenediamine 2,4-, and 2,6-TDA), were determined as pentafluoropropionic anhydride (PFPA) derivatives by capillary gas-chromatography using selected ion monitoring (SIM) in the electron-impact mode. The urinary elimination of the TDAs showed a possible biphasic pattern, with rapid first phases for 2,4-TDA (mean t 1/2 for the concentration in urine, 1.9 h) and for 2,6-TDA (mean t 1/2 for the concentration in urine, 1.6 h). The cumulative amount of 2,4-TDA excreted in urine within 28 h ranged from 8% to 14% of the estimated dose of 2,4-TDI, and the cumulative amount of 2,6-TDA in urine ranged from 14% to 18% of the 2,6-TDI dose. The average urinary level of 2,4-TDA was 5 μg/l in the 6 to 8-h sample (range 2.8–9.6 μg/l), and the corresponding value for 2,6-TDA was 8.6 μg/l (range, 5.6–16.6 μg/l). Biological monitoring of exposure to 2,4- and 2,6-TDI by analysis of 2,4- and 2,6-TDA in urine is feasible.","author":[{"dropping-particle":"","family":"Skarping","given":"Gunnar","non-dropping-particle":"","parse-names":false,"suffix":""},{"dropping-particle":"","family":"Brorson","given":"Torhjörn","non-dropping-particle":"","parse-names":false,"suffix":""},{"dropping-particle":"","family":"Sangö","given":"Carsten","non-dropping-particle":"","parse-names":false,"suffix":""}],"container-title":"International Archives of Occupational and Environmental Health 1991 63:2","id":"ITEM-1","issue":"2","issued":{"date-parts":[["1991","6"]]},"page":"83-88","publisher":"Springer","title":"Biological monitoring of isocyanates and related amines","type":"article-journal","volume":"63"},"uris":["http://www.mendeley.com/documents/?uuid=4d03f578-6ec7-37aa-a819-313927d86e15"]}],"mendeley":{"formattedCitation":"(Skarping, Brorson, and Sangö 1991)","manualFormatting":"Skarping, Brorson, and Sangö (1991)","plainTextFormattedCitation":"(Skarping, Brorson, and Sangö 1991)","previouslyFormattedCitation":"(Skarping, Brorson, and Sangö 1991)"},"properties":{"noteIndex":0},"schema":"https://github.com/citation-style-language/schema/raw/master/csl-citation.json"}</w:instrText>
      </w:r>
      <w:r w:rsidR="008705A7">
        <w:rPr>
          <w:lang w:val="en-US"/>
        </w:rPr>
        <w:fldChar w:fldCharType="separate"/>
      </w:r>
      <w:r w:rsidR="008705A7" w:rsidRPr="008705A7">
        <w:rPr>
          <w:noProof/>
          <w:lang w:val="en-US"/>
        </w:rPr>
        <w:t xml:space="preserve">Skarping, Brorson, and Sangö </w:t>
      </w:r>
      <w:r w:rsidR="008705A7">
        <w:rPr>
          <w:noProof/>
          <w:lang w:val="en-US"/>
        </w:rPr>
        <w:t>(</w:t>
      </w:r>
      <w:r w:rsidR="008705A7" w:rsidRPr="008705A7">
        <w:rPr>
          <w:noProof/>
          <w:lang w:val="en-US"/>
        </w:rPr>
        <w:t>1991)</w:t>
      </w:r>
      <w:r w:rsidR="008705A7">
        <w:rPr>
          <w:lang w:val="en-US"/>
        </w:rPr>
        <w:fldChar w:fldCharType="end"/>
      </w:r>
      <w:r w:rsidR="008705A7">
        <w:rPr>
          <w:lang w:val="en-US"/>
        </w:rPr>
        <w:t xml:space="preserve">, </w:t>
      </w:r>
      <w:r>
        <w:rPr>
          <w:lang w:val="en-US"/>
        </w:rPr>
        <w:t>f</w:t>
      </w:r>
      <w:r w:rsidRPr="001D3C62">
        <w:rPr>
          <w:lang w:val="en-US"/>
        </w:rPr>
        <w:t xml:space="preserve">ive men were exposed to </w:t>
      </w:r>
      <w:r>
        <w:rPr>
          <w:lang w:val="en-US"/>
        </w:rPr>
        <w:t>TDI for 7.5 hours. The cumulative</w:t>
      </w:r>
      <w:r w:rsidRPr="001D3C62">
        <w:rPr>
          <w:lang w:val="en-US"/>
        </w:rPr>
        <w:t xml:space="preserve"> amount of 2,4-TDA excreted in urine within 28 h ranged from 8% to 14% of the estimated dose of 2,4-TDI, and the cumulative amount of 2,6-TDA in urine ranged from 14% to 18% of the </w:t>
      </w:r>
      <w:r>
        <w:rPr>
          <w:lang w:val="en-US"/>
        </w:rPr>
        <w:t xml:space="preserve">estimated </w:t>
      </w:r>
      <w:r w:rsidRPr="001D3C62">
        <w:rPr>
          <w:lang w:val="en-US"/>
        </w:rPr>
        <w:t>2,6-TDI dose.</w:t>
      </w:r>
      <w:r>
        <w:rPr>
          <w:lang w:val="en-US"/>
        </w:rPr>
        <w:t xml:space="preserve"> For MDI there is only one kinetic study in animals </w:t>
      </w:r>
      <w:r w:rsidR="008705A7">
        <w:rPr>
          <w:lang w:val="en-US"/>
        </w:rPr>
        <w:fldChar w:fldCharType="begin" w:fldLock="1"/>
      </w:r>
      <w:r w:rsidR="008705A7">
        <w:rPr>
          <w:lang w:val="en-US"/>
        </w:rPr>
        <w:instrText>ADDIN CSL_CITATION {"citationItems":[{"id":"ITEM-1","itemData":{"DOI":"10.1080/00498250500057591","ISSN":"00498254","PMID":"16019951","abstract":"The received dose, tissue distribution, metabolism, routes and rates of excretion of [14C]-4, 4'-methylenediphenyl diisocyanate (MDI) were investigated in the male rat following a 6-h inhalation ex...","author":[{"dropping-particle":"","family":"Gledhill","given":"A.","non-dropping-particle":"","parse-names":false,"suffix":""},{"dropping-particle":"","family":"Wake","given":"A.","non-dropping-particle":"","parse-names":false,"suffix":""},{"dropping-particle":"","family":"Hext","given":"P.","non-dropping-particle":"","parse-names":false,"suffix":""},{"dropping-particle":"","family":"Leibold","given":"E.","non-dropping-particle":"","parse-names":false,"suffix":""},{"dropping-particle":"","family":"Shiotsuka","given":"R.","non-dropping-particle":"","parse-names":false,"suffix":""}],"container-title":"http://dx.doi.org/10.1080/00498250500057591","id":"ITEM-1","issue":"3","issued":{"date-parts":[["2008","3"]]},"page":"273-292","publisher":"Taylor &amp; Francis","title":"Absorption, distribution, metabolism and excretion of an inhalation dose of [14C] 4,4'-methylenediphenyl diisocyanate in the male rat","type":"article-journal","volume":"35"},"uris":["http://www.mendeley.com/documents/?uuid=b2efe339-18c9-35d7-826c-6221c06e05ec"]}],"mendeley":{"formattedCitation":"(Gledhill et al. 2008)","plainTextFormattedCitation":"(Gledhill et al. 2008)","previouslyFormattedCitation":"(Gledhill et al. 2008)"},"properties":{"noteIndex":0},"schema":"https://github.com/citation-style-language/schema/raw/master/csl-citation.json"}</w:instrText>
      </w:r>
      <w:r w:rsidR="008705A7">
        <w:rPr>
          <w:lang w:val="en-US"/>
        </w:rPr>
        <w:fldChar w:fldCharType="separate"/>
      </w:r>
      <w:r w:rsidR="008705A7" w:rsidRPr="008705A7">
        <w:rPr>
          <w:noProof/>
          <w:lang w:val="en-US"/>
        </w:rPr>
        <w:t>(Gledhill et al. 2008)</w:t>
      </w:r>
      <w:r w:rsidR="008705A7">
        <w:rPr>
          <w:lang w:val="en-US"/>
        </w:rPr>
        <w:fldChar w:fldCharType="end"/>
      </w:r>
      <w:r>
        <w:rPr>
          <w:lang w:val="en-US"/>
        </w:rPr>
        <w:t xml:space="preserve">. This </w:t>
      </w:r>
      <w:r w:rsidRPr="005D4F54">
        <w:rPr>
          <w:lang w:val="en-US"/>
        </w:rPr>
        <w:t xml:space="preserve">inhalation study in rats measured </w:t>
      </w:r>
      <w:r>
        <w:rPr>
          <w:lang w:val="en-US"/>
        </w:rPr>
        <w:t xml:space="preserve">that, </w:t>
      </w:r>
      <w:r w:rsidRPr="005D4F54">
        <w:rPr>
          <w:lang w:val="en-US"/>
        </w:rPr>
        <w:t xml:space="preserve">after 168 hours </w:t>
      </w:r>
      <w:r>
        <w:rPr>
          <w:lang w:val="en-US"/>
        </w:rPr>
        <w:t xml:space="preserve">exposures to MDI, </w:t>
      </w:r>
      <w:r w:rsidRPr="005D4F54">
        <w:rPr>
          <w:lang w:val="en-US"/>
        </w:rPr>
        <w:t>approximately 32% of the inhaled dose was systemically available (Gledhill et al. 200</w:t>
      </w:r>
      <w:r w:rsidR="008705A7">
        <w:rPr>
          <w:lang w:val="en-US"/>
        </w:rPr>
        <w:t>8</w:t>
      </w:r>
      <w:r w:rsidRPr="005D4F54">
        <w:rPr>
          <w:lang w:val="en-US"/>
        </w:rPr>
        <w:t>)</w:t>
      </w:r>
      <w:r>
        <w:rPr>
          <w:lang w:val="en-US"/>
        </w:rPr>
        <w:t>.</w:t>
      </w:r>
      <w:r w:rsidRPr="005D4F54">
        <w:rPr>
          <w:lang w:val="en-US"/>
        </w:rPr>
        <w:t xml:space="preserve"> </w:t>
      </w:r>
    </w:p>
    <w:p w14:paraId="6D4965BE" w14:textId="299D0190" w:rsidR="004D7210" w:rsidRDefault="004D7210" w:rsidP="004D7210">
      <w:pPr>
        <w:rPr>
          <w:rFonts w:ascii="Times New Roman" w:hAnsi="Times New Roman" w:cs="Times New Roman"/>
          <w:sz w:val="24"/>
          <w:szCs w:val="24"/>
          <w:lang w:val="en-US"/>
        </w:rPr>
      </w:pPr>
      <w:r>
        <w:rPr>
          <w:rFonts w:ascii="Times New Roman" w:hAnsi="Times New Roman" w:cs="Times New Roman"/>
          <w:sz w:val="24"/>
          <w:szCs w:val="24"/>
          <w:lang w:val="en-US"/>
        </w:rPr>
        <w:br/>
        <w:t xml:space="preserve">Budnik et al. exposed volunteers to different diisocyanates and found, for </w:t>
      </w:r>
      <w:r w:rsidRPr="00611DE1">
        <w:rPr>
          <w:rFonts w:ascii="Times New Roman" w:hAnsi="Times New Roman" w:cs="Times New Roman"/>
          <w:sz w:val="24"/>
          <w:szCs w:val="24"/>
          <w:lang w:val="en-US"/>
        </w:rPr>
        <w:t>TDI, that the major excretion peak was at 4.1 h and 4.8 h (for 2,6- and 2,4-TDA), with a half</w:t>
      </w:r>
      <w:r>
        <w:rPr>
          <w:rFonts w:ascii="Times New Roman" w:hAnsi="Times New Roman" w:cs="Times New Roman"/>
          <w:sz w:val="24"/>
          <w:szCs w:val="24"/>
          <w:lang w:val="en-US"/>
        </w:rPr>
        <w:t>-life</w:t>
      </w:r>
      <w:r w:rsidRPr="00611DE1">
        <w:rPr>
          <w:rFonts w:ascii="Times New Roman" w:hAnsi="Times New Roman" w:cs="Times New Roman"/>
          <w:sz w:val="24"/>
          <w:szCs w:val="24"/>
          <w:lang w:val="en-US"/>
        </w:rPr>
        <w:t xml:space="preserve"> of about 6 hours.</w:t>
      </w:r>
      <w:r>
        <w:rPr>
          <w:rFonts w:ascii="Times New Roman" w:hAnsi="Times New Roman" w:cs="Times New Roman"/>
          <w:sz w:val="24"/>
          <w:szCs w:val="24"/>
          <w:lang w:val="en-US"/>
        </w:rPr>
        <w:t xml:space="preserve"> </w:t>
      </w:r>
      <w:r w:rsidRPr="00611DE1">
        <w:rPr>
          <w:rFonts w:ascii="Times New Roman" w:hAnsi="Times New Roman" w:cs="Times New Roman"/>
          <w:sz w:val="24"/>
          <w:szCs w:val="24"/>
          <w:lang w:val="en-US"/>
        </w:rPr>
        <w:t>Further Budnik et al. report that the majority of the TDA appeared to be eliminated after 24 h</w:t>
      </w:r>
      <w:r>
        <w:rPr>
          <w:rFonts w:ascii="Times New Roman" w:hAnsi="Times New Roman" w:cs="Times New Roman"/>
          <w:sz w:val="24"/>
          <w:szCs w:val="24"/>
          <w:lang w:val="en-US"/>
        </w:rPr>
        <w:t>ours. For MDI it was evident that MDI is excreted more slowly (i.e. there is a peak in excretion after 14 hours and after 24 hours there is still a significant amount of MDI excreted in urine) when compared to TDI. This is also consistent with findings from different animal studies</w:t>
      </w:r>
      <w:r w:rsidR="008705A7">
        <w:rPr>
          <w:rFonts w:ascii="Times New Roman" w:hAnsi="Times New Roman" w:cs="Times New Roman"/>
          <w:sz w:val="24"/>
          <w:szCs w:val="24"/>
          <w:lang w:val="en-US"/>
        </w:rPr>
        <w:t xml:space="preserve"> </w:t>
      </w:r>
      <w:r w:rsidR="008705A7">
        <w:rPr>
          <w:rFonts w:ascii="Times New Roman" w:hAnsi="Times New Roman" w:cs="Times New Roman"/>
          <w:sz w:val="24"/>
          <w:szCs w:val="24"/>
          <w:lang w:val="en-US"/>
        </w:rPr>
        <w:fldChar w:fldCharType="begin" w:fldLock="1"/>
      </w:r>
      <w:r w:rsidR="008705A7">
        <w:rPr>
          <w:rFonts w:ascii="Times New Roman" w:hAnsi="Times New Roman" w:cs="Times New Roman"/>
          <w:sz w:val="24"/>
          <w:szCs w:val="24"/>
          <w:lang w:val="en-US"/>
        </w:rPr>
        <w:instrText>ADDIN CSL_CITATION {"citationItems":[{"id":"ITEM-1","itemData":{"DOI":"10.1006/taap.1994.1022","ISSN":"0041008X","abstract":"This study was initiated to evaluate the pharmacokinetics/metabolism of 14C-labeled toluene 2,4-diisocyanate (2,4-[14C]-TDI) following oral and inhalation exposure in the rat. For comparison, the pharmacokinetics/metabolism of toluene 2,4-diamine (2,4-[14C]TDA) was also evaluated. Groups of 3 or 4 male rats were given either a single 60 mg/kg oral dose of 2,4-[14C]-TDI or were exposed to 2,4-[14C]TDI vapors at a target concentration of 2 ppm for a 4-hr period. Additional groups of male rats were given single 3 or 60 mg/kg oral doses or a single 3 mg/kg intravenous (iv) dose of 2,4-[14C]TDA. All rats were euthanized by 48 hr postexposure. Following oral administration of 2,4-[14C]TDI, &gt;93% of the administered radioactivity was recovered in the urine, feces, cage wash, and tissues. Approximately 8% of the oral dose was excreted in the urine while 81% was eliminated in the feces. It is estimated that during inhalation exposure, essentially all of the inhaled 2,4-[14C]TDI was retained by the animal. At 48 hr post-inhalation exposure approximately 15 and 47% of the recovered radioactivity was in the urine and feces, respectively. Following oral or inhalation exposure to 2,4-[14C]TDI, no radioactivity was eliminated as either expired 14C organics or 14CO2. Comparison of the 2,4-[14C]TDI inhalation group with the oral 2,4-[14C]TDI and 2,4- [14C]TDA treatment groups indicated that a larger percentage of the inhaled radioactivity was in the tissues/carcass (34% vs 2-4%) and the excretion of radioactivity into the urine was slower (t2/1 = 20 hr vs 5-8 hr) following TDI inhalation. The total amount of free + acetylated TDA metabolites detected in the urine specimens (0-12 hr) following oral and inhalation exposure to 2,4-[14C]TDI was 15 and 0.26 μg eq 2,4-TDA, respectively. No free 2,4-TDA was detected in the urine specimen from the inhalation group. In comparison, 638 and 20 μg eq 2.4-TDA was detected in the urine specimen after oral administration of 60 and 3 mg/kg 2,4-[14C]TDA, respectively. Following 2,4-[14C]TDI inhalation and oral exposure approximately 90 and 65% of the quantitated urinary metabolites existed as acid-labile conjugates, respectively. In contrast, only 16-39% of the quantitated urinary metabolites existed as acid-labile conjugates following oral administration of 2,4- [14C]TDA. Inhalation exposure to 2,4-TDI primarily results in the formation of acid-labile conjugates with little or no 2,4-TDA being formed. This suggests that the metabolic di…","author":[{"dropping-particle":"","family":"Timchalk","given":"C.","non-dropping-particle":"","parse-names":false,"suffix":""},{"dropping-particle":"","family":"Smith","given":"F. A.","non-dropping-particle":"","parse-names":false,"suffix":""},{"dropping-particle":"","family":"Bartels","given":"M. J.","non-dropping-particle":"","parse-names":false,"suffix":""}],"container-title":"Toxicology and Applied Pharmacology","id":"ITEM-1","issued":{"date-parts":[["1994"]]},"title":"Route-dependent comparative metabolism of [14C]toluene 2,4-diisocyanate and [14C]toluene 2,4-diamine in Fischer 344 rats","type":"article-journal"},"uris":["http://www.mendeley.com/documents/?uuid=cb903025-654d-4791-bd3b-9cb6dac67284"]},{"id":"ITEM-2","itemData":{"DOI":"10.1080/00498250500057591","ISSN":"00498254","PMID":"16019951","abstract":"The received dose, tissue distribution, metabolism, routes and rates of excretion of [14C]-4, 4'-methylenediphenyl diisocyanate (MDI) were investigated in the male rat following a 6-h inhalation ex...","author":[{"dropping-particle":"","family":"Gledhill","given":"A.","non-dropping-particle":"","parse-names":false,"suffix":""},{"dropping-particle":"","family":"Wake","given":"A.","non-dropping-particle":"","parse-names":false,"suffix":""},{"dropping-particle":"","family":"Hext","given":"P.","non-dropping-particle":"","parse-names":false,"suffix":""},{"dropping-particle":"","family":"Leibold","given":"E.","non-dropping-particle":"","parse-names":false,"suffix":""},{"dropping-particle":"","family":"Shiotsuka","given":"R.","non-dropping-particle":"","parse-names":false,"suffix":""}],"container-title":"http://dx.doi.org/10.1080/00498250500057591","id":"ITEM-2","issue":"3","issued":{"date-parts":[["2008","3"]]},"page":"273-292","publisher":"Taylor &amp; Francis","title":"Absorption, distribution, metabolism and excretion of an inhalation dose of [14C] 4,4'-methylenediphenyl diisocyanate in the male rat","type":"article-journal","volume":"35"},"uris":["http://www.mendeley.com/documents/?uuid=b2efe339-18c9-35d7-826c-6221c06e05ec"]}],"mendeley":{"formattedCitation":"(Timchalk, Smith, and Bartels 1994; Gledhill et al. 2008)","plainTextFormattedCitation":"(Timchalk, Smith, and Bartels 1994; Gledhill et al. 2008)","previouslyFormattedCitation":"(Timchalk, Smith, and Bartels 1994; Gledhill et al. 2008)"},"properties":{"noteIndex":0},"schema":"https://github.com/citation-style-language/schema/raw/master/csl-citation.json"}</w:instrText>
      </w:r>
      <w:r w:rsidR="008705A7">
        <w:rPr>
          <w:rFonts w:ascii="Times New Roman" w:hAnsi="Times New Roman" w:cs="Times New Roman"/>
          <w:sz w:val="24"/>
          <w:szCs w:val="24"/>
          <w:lang w:val="en-US"/>
        </w:rPr>
        <w:fldChar w:fldCharType="separate"/>
      </w:r>
      <w:r w:rsidR="008705A7" w:rsidRPr="008705A7">
        <w:rPr>
          <w:rFonts w:ascii="Times New Roman" w:hAnsi="Times New Roman" w:cs="Times New Roman"/>
          <w:noProof/>
          <w:sz w:val="24"/>
          <w:szCs w:val="24"/>
          <w:lang w:val="en-US"/>
        </w:rPr>
        <w:t>(Timchalk, Smith, and Bartels 1994; Gledhill et al. 2008)</w:t>
      </w:r>
      <w:r w:rsidR="008705A7">
        <w:rPr>
          <w:rFonts w:ascii="Times New Roman" w:hAnsi="Times New Roman" w:cs="Times New Roman"/>
          <w:sz w:val="24"/>
          <w:szCs w:val="24"/>
          <w:lang w:val="en-US"/>
        </w:rPr>
        <w:fldChar w:fldCharType="end"/>
      </w:r>
      <w:r>
        <w:rPr>
          <w:rFonts w:ascii="Times New Roman" w:hAnsi="Times New Roman" w:cs="Times New Roman"/>
          <w:sz w:val="24"/>
          <w:szCs w:val="24"/>
          <w:lang w:val="en-US"/>
        </w:rPr>
        <w:t>.</w:t>
      </w:r>
      <w:r w:rsidR="008705A7">
        <w:rPr>
          <w:rFonts w:ascii="Times New Roman" w:hAnsi="Times New Roman" w:cs="Times New Roman"/>
          <w:sz w:val="24"/>
          <w:szCs w:val="24"/>
          <w:lang w:val="en-US"/>
        </w:rPr>
        <w:t xml:space="preserve"> </w:t>
      </w:r>
      <w:r w:rsidR="008705A7">
        <w:rPr>
          <w:rFonts w:ascii="Times New Roman" w:hAnsi="Times New Roman" w:cs="Times New Roman"/>
          <w:sz w:val="24"/>
          <w:szCs w:val="24"/>
          <w:lang w:val="en-US"/>
        </w:rPr>
        <w:fldChar w:fldCharType="begin" w:fldLock="1"/>
      </w:r>
      <w:r w:rsidR="008705A7">
        <w:rPr>
          <w:rFonts w:ascii="Times New Roman" w:hAnsi="Times New Roman" w:cs="Times New Roman"/>
          <w:sz w:val="24"/>
          <w:szCs w:val="24"/>
          <w:lang w:val="en-US"/>
        </w:rPr>
        <w:instrText>ADDIN CSL_CITATION {"citationItems":[{"id":"ITEM-1","itemData":{"author":[{"dropping-particle":"","family":"Kääriä","given":"K","non-dropping-particle":"","parse-names":false,"suffix":""},{"dropping-particle":"","family":"Hirvonen","given":"A","non-dropping-particle":"","parse-names":false,"suffix":""},{"dropping-particle":"","family":"Norppa","given":"H","non-dropping-particle":"","parse-names":false,"suffix":""},{"dropping-particle":"","family":"Piirilä","given":"P","non-dropping-particle":"","parse-names":false,"suffix":""},{"dropping-particle":"","family":"Vainio","given":"H","non-dropping-particle":"","parse-names":false,"suffix":""},{"dropping-particle":"","family":"Rosenberg","given":"C","non-dropping-particle":"","parse-names":false,"suffix":""}],"container-title":"Analyst","id":"ITEM-1","issue":"7","issued":{"date-parts":[["2001"]]},"page":"1","title":"Exposure to 2,4- and 2,6-toluene diisocyanate (TDI) during production of flexible foam: determination of airborne TDI and urinary 2,4- and 2,6-toluenediamine (TDA)","type":"article-journal","volume":"126"},"uris":["http://www.mendeley.com/documents/?uuid=a0b329ff-ed3d-4974-88fa-07c35ea96fe0"]}],"mendeley":{"formattedCitation":"(Kääriä et al. 2001)","manualFormatting":"Kääriä et al. (2001)","plainTextFormattedCitation":"(Kääriä et al. 2001)","previouslyFormattedCitation":"(Kääriä et al. 2001)"},"properties":{"noteIndex":0},"schema":"https://github.com/citation-style-language/schema/raw/master/csl-citation.json"}</w:instrText>
      </w:r>
      <w:r w:rsidR="008705A7">
        <w:rPr>
          <w:rFonts w:ascii="Times New Roman" w:hAnsi="Times New Roman" w:cs="Times New Roman"/>
          <w:sz w:val="24"/>
          <w:szCs w:val="24"/>
          <w:lang w:val="en-US"/>
        </w:rPr>
        <w:fldChar w:fldCharType="separate"/>
      </w:r>
      <w:r w:rsidR="008705A7" w:rsidRPr="008705A7">
        <w:rPr>
          <w:rFonts w:ascii="Times New Roman" w:hAnsi="Times New Roman" w:cs="Times New Roman"/>
          <w:noProof/>
          <w:sz w:val="24"/>
          <w:szCs w:val="24"/>
          <w:lang w:val="en-US"/>
        </w:rPr>
        <w:t xml:space="preserve">Kääriä et al. </w:t>
      </w:r>
      <w:r w:rsidR="008705A7">
        <w:rPr>
          <w:rFonts w:ascii="Times New Roman" w:hAnsi="Times New Roman" w:cs="Times New Roman"/>
          <w:noProof/>
          <w:sz w:val="24"/>
          <w:szCs w:val="24"/>
          <w:lang w:val="en-US"/>
        </w:rPr>
        <w:t>(</w:t>
      </w:r>
      <w:r w:rsidR="008705A7" w:rsidRPr="008705A7">
        <w:rPr>
          <w:rFonts w:ascii="Times New Roman" w:hAnsi="Times New Roman" w:cs="Times New Roman"/>
          <w:noProof/>
          <w:sz w:val="24"/>
          <w:szCs w:val="24"/>
          <w:lang w:val="en-US"/>
        </w:rPr>
        <w:t>2001)</w:t>
      </w:r>
      <w:r w:rsidR="008705A7">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r w:rsidRPr="00913D17">
        <w:rPr>
          <w:rFonts w:ascii="Times New Roman" w:hAnsi="Times New Roman" w:cs="Times New Roman"/>
          <w:sz w:val="24"/>
          <w:szCs w:val="24"/>
          <w:lang w:val="en-US"/>
        </w:rPr>
        <w:t>monitored MDI exposure and co</w:t>
      </w:r>
      <w:r>
        <w:rPr>
          <w:rFonts w:ascii="Times New Roman" w:hAnsi="Times New Roman" w:cs="Times New Roman"/>
          <w:sz w:val="24"/>
          <w:szCs w:val="24"/>
          <w:lang w:val="en-US"/>
        </w:rPr>
        <w:t xml:space="preserve">rresponding MDA urinary levels for two consecutive days in a worker population and reported that due to </w:t>
      </w:r>
      <w:r w:rsidRPr="00913D17">
        <w:rPr>
          <w:rFonts w:ascii="Times New Roman" w:hAnsi="Times New Roman" w:cs="Times New Roman"/>
          <w:sz w:val="24"/>
          <w:szCs w:val="24"/>
          <w:lang w:val="en-US"/>
        </w:rPr>
        <w:t>the long half-life of urinary MDA exposure of the previous day is reflected in the slightly higher concentrations in the second day’s morning samples compared</w:t>
      </w:r>
      <w:r>
        <w:rPr>
          <w:rFonts w:ascii="Times New Roman" w:hAnsi="Times New Roman" w:cs="Times New Roman"/>
          <w:sz w:val="24"/>
          <w:szCs w:val="24"/>
          <w:lang w:val="en-US"/>
        </w:rPr>
        <w:t xml:space="preserve"> </w:t>
      </w:r>
      <w:r w:rsidRPr="00913D17">
        <w:rPr>
          <w:rFonts w:ascii="Times New Roman" w:hAnsi="Times New Roman" w:cs="Times New Roman"/>
          <w:sz w:val="24"/>
          <w:szCs w:val="24"/>
          <w:lang w:val="en-US"/>
        </w:rPr>
        <w:t>with the noontime samples.</w:t>
      </w:r>
      <w:r>
        <w:rPr>
          <w:rFonts w:ascii="Times New Roman" w:hAnsi="Times New Roman" w:cs="Times New Roman"/>
          <w:sz w:val="24"/>
          <w:szCs w:val="24"/>
          <w:lang w:val="en-US"/>
        </w:rPr>
        <w:t xml:space="preserve"> The reason for the slower elimination kinetics of MDI in comparison to TDI is not entirely clear. MDI is a larger chemical with a higher molecular weight. Gledhill et al. (200</w:t>
      </w:r>
      <w:r w:rsidR="008705A7">
        <w:rPr>
          <w:rFonts w:ascii="Times New Roman" w:hAnsi="Times New Roman" w:cs="Times New Roman"/>
          <w:sz w:val="24"/>
          <w:szCs w:val="24"/>
          <w:lang w:val="en-US"/>
        </w:rPr>
        <w:t>8</w:t>
      </w:r>
      <w:r>
        <w:rPr>
          <w:rFonts w:ascii="Times New Roman" w:hAnsi="Times New Roman" w:cs="Times New Roman"/>
          <w:sz w:val="24"/>
          <w:szCs w:val="24"/>
          <w:lang w:val="en-US"/>
        </w:rPr>
        <w:t>) state that “</w:t>
      </w:r>
      <w:r w:rsidRPr="00CD3B01">
        <w:rPr>
          <w:rFonts w:ascii="Times New Roman" w:hAnsi="Times New Roman" w:cs="Times New Roman"/>
          <w:i/>
          <w:iCs/>
          <w:sz w:val="24"/>
          <w:szCs w:val="24"/>
          <w:lang w:val="en-US"/>
        </w:rPr>
        <w:t>the reactivity of MDI is such that it may not be directly absorbed into systemic circulation from the lung, rather, it is highly likely that it reacts initially with the high glutathione content of the lung to form glutathione conjugates which act as a carrier”.</w:t>
      </w:r>
      <w:r>
        <w:rPr>
          <w:rFonts w:ascii="Times New Roman" w:hAnsi="Times New Roman" w:cs="Times New Roman"/>
          <w:i/>
          <w:iCs/>
          <w:sz w:val="24"/>
          <w:szCs w:val="24"/>
          <w:lang w:val="en-US"/>
        </w:rPr>
        <w:t xml:space="preserve"> </w:t>
      </w:r>
      <w:r>
        <w:rPr>
          <w:rFonts w:ascii="Times New Roman" w:hAnsi="Times New Roman" w:cs="Times New Roman"/>
          <w:sz w:val="24"/>
          <w:szCs w:val="24"/>
          <w:lang w:val="en-US"/>
        </w:rPr>
        <w:t xml:space="preserve">Evidence suggests that MDI has a lower reactivity to albumin when compared to TDI </w:t>
      </w:r>
      <w:r w:rsidR="008705A7">
        <w:rPr>
          <w:rFonts w:ascii="Times New Roman" w:hAnsi="Times New Roman" w:cs="Times New Roman"/>
          <w:sz w:val="24"/>
          <w:szCs w:val="24"/>
          <w:lang w:val="en-US"/>
        </w:rPr>
        <w:fldChar w:fldCharType="begin" w:fldLock="1"/>
      </w:r>
      <w:r w:rsidR="006D20E6">
        <w:rPr>
          <w:rFonts w:ascii="Times New Roman" w:hAnsi="Times New Roman" w:cs="Times New Roman"/>
          <w:sz w:val="24"/>
          <w:szCs w:val="24"/>
          <w:lang w:val="en-US"/>
        </w:rPr>
        <w:instrText>ADDIN CSL_CITATION {"citationItems":[{"id":"ITEM-1","itemData":{"author":[{"dropping-particle":"","family":"Hettick","given":"J","non-dropping-particle":"","parse-names":false,"suffix":""},{"dropping-particle":"","family":"Siegel","given":"P.D","non-dropping-particle":"","parse-names":false,"suffix":""}],"container-title":"Analytical biochemistry","id":"ITEM-1","issued":{"date-parts":[["2011"]]},"page":"232-238","title":"Determination of the toluene diisocyanate binding sites on human serum albumin by tandem mass spectrometry","type":"article-journal","volume":"414.2"},"uris":["http://www.mendeley.com/documents/?uuid=c0697718-1d9f-4271-b6f5-2978e0b4570f"]}],"mendeley":{"formattedCitation":"(Hettick and Siegel 2011)","plainTextFormattedCitation":"(Hettick and Siegel 2011)","previouslyFormattedCitation":"(Hettick and Siegel 2011)"},"properties":{"noteIndex":0},"schema":"https://github.com/citation-style-language/schema/raw/master/csl-citation.json"}</w:instrText>
      </w:r>
      <w:r w:rsidR="008705A7">
        <w:rPr>
          <w:rFonts w:ascii="Times New Roman" w:hAnsi="Times New Roman" w:cs="Times New Roman"/>
          <w:sz w:val="24"/>
          <w:szCs w:val="24"/>
          <w:lang w:val="en-US"/>
        </w:rPr>
        <w:fldChar w:fldCharType="separate"/>
      </w:r>
      <w:r w:rsidR="008705A7" w:rsidRPr="008705A7">
        <w:rPr>
          <w:rFonts w:ascii="Times New Roman" w:hAnsi="Times New Roman" w:cs="Times New Roman"/>
          <w:noProof/>
          <w:sz w:val="24"/>
          <w:szCs w:val="24"/>
          <w:lang w:val="en-US"/>
        </w:rPr>
        <w:t>(Hettick and Siegel 2011)</w:t>
      </w:r>
      <w:r w:rsidR="008705A7">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Therefore, the difference in elimination between MDI and TDI could possibly be explained by a difference in the reactivity towards albumin and other macromolecules at the site of exposure. We included this information in our model by making a distinction between MDI and TDI for the half-life transfer from non-blood to blood in lungs (i.e. we assume MDI transfers more slowly from the lung compartment to the </w:t>
      </w:r>
      <w:r>
        <w:rPr>
          <w:rFonts w:ascii="Times New Roman" w:hAnsi="Times New Roman" w:cs="Times New Roman"/>
          <w:sz w:val="24"/>
          <w:szCs w:val="24"/>
          <w:lang w:val="en-US"/>
        </w:rPr>
        <w:lastRenderedPageBreak/>
        <w:t xml:space="preserve">systemic blood circulation) and the half-life binding to albumin/other macromolecules (i.e. we assume MDI binds less quickly to albumin than TDI). </w:t>
      </w:r>
    </w:p>
    <w:p w14:paraId="33D11BD7" w14:textId="77777777" w:rsidR="004D7210" w:rsidRDefault="004D7210" w:rsidP="004D7210">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889D0F1" w14:textId="77777777" w:rsidR="00121DCB" w:rsidRDefault="00121DCB" w:rsidP="004D7210">
      <w:pPr>
        <w:pStyle w:val="Heading1"/>
        <w:rPr>
          <w:lang w:val="en-US"/>
        </w:rPr>
        <w:sectPr w:rsidR="00121DCB" w:rsidSect="00121DCB">
          <w:footerReference w:type="default" r:id="rId8"/>
          <w:pgSz w:w="11906" w:h="16838"/>
          <w:pgMar w:top="1440" w:right="1440" w:bottom="1440" w:left="1440" w:header="706" w:footer="706" w:gutter="0"/>
          <w:cols w:space="708"/>
          <w:docGrid w:linePitch="360"/>
        </w:sectPr>
      </w:pPr>
    </w:p>
    <w:p w14:paraId="694FDDB1" w14:textId="45026154" w:rsidR="004D7210" w:rsidRDefault="004D7210" w:rsidP="004D7210">
      <w:pPr>
        <w:pStyle w:val="Heading1"/>
        <w:rPr>
          <w:lang w:val="en-US"/>
        </w:rPr>
      </w:pPr>
      <w:r>
        <w:rPr>
          <w:lang w:val="en-US"/>
        </w:rPr>
        <w:lastRenderedPageBreak/>
        <w:t xml:space="preserve">Appendix </w:t>
      </w:r>
      <w:r w:rsidR="00121DCB">
        <w:rPr>
          <w:lang w:val="en-US"/>
        </w:rPr>
        <w:t>C</w:t>
      </w:r>
      <w:r>
        <w:rPr>
          <w:lang w:val="en-US"/>
        </w:rPr>
        <w:t xml:space="preserve"> - TDI studies</w:t>
      </w:r>
    </w:p>
    <w:p w14:paraId="37F8CE61" w14:textId="77777777" w:rsidR="004D7210" w:rsidRPr="00E60F31" w:rsidRDefault="004D7210" w:rsidP="004D7210">
      <w:pPr>
        <w:pStyle w:val="Caption"/>
        <w:rPr>
          <w:lang w:val="en-US"/>
        </w:rPr>
      </w:pPr>
      <w:r w:rsidRPr="00E60F31">
        <w:rPr>
          <w:lang w:val="en-US"/>
        </w:rPr>
        <w:t xml:space="preserve">Table </w:t>
      </w:r>
      <w:r w:rsidRPr="00E60F31">
        <w:t>S1</w:t>
      </w:r>
      <w:r w:rsidRPr="00E60F31">
        <w:rPr>
          <w:lang w:val="en-US"/>
        </w:rPr>
        <w:t xml:space="preserve">. Overview available, published TDI studies with both external and internal exposure data available. </w:t>
      </w:r>
    </w:p>
    <w:tbl>
      <w:tblPr>
        <w:tblStyle w:val="TableGrid"/>
        <w:tblW w:w="0" w:type="auto"/>
        <w:tblLook w:val="04A0" w:firstRow="1" w:lastRow="0" w:firstColumn="1" w:lastColumn="0" w:noHBand="0" w:noVBand="1"/>
      </w:tblPr>
      <w:tblGrid>
        <w:gridCol w:w="1229"/>
        <w:gridCol w:w="1400"/>
        <w:gridCol w:w="1335"/>
        <w:gridCol w:w="1560"/>
        <w:gridCol w:w="1544"/>
        <w:gridCol w:w="1701"/>
        <w:gridCol w:w="1276"/>
        <w:gridCol w:w="2410"/>
        <w:gridCol w:w="1417"/>
      </w:tblGrid>
      <w:tr w:rsidR="006D20E6" w:rsidRPr="00E60F31" w14:paraId="4E016B8B" w14:textId="77777777" w:rsidTr="005442CF">
        <w:trPr>
          <w:tblHeader/>
        </w:trPr>
        <w:tc>
          <w:tcPr>
            <w:tcW w:w="1229" w:type="dxa"/>
            <w:shd w:val="clear" w:color="auto" w:fill="auto"/>
          </w:tcPr>
          <w:p w14:paraId="5F123B79" w14:textId="77777777" w:rsidR="004D7210" w:rsidRPr="00E60F31" w:rsidRDefault="004D7210" w:rsidP="005442CF">
            <w:pPr>
              <w:rPr>
                <w:b/>
                <w:bCs/>
                <w:sz w:val="18"/>
                <w:szCs w:val="18"/>
                <w:lang w:val="en-US"/>
              </w:rPr>
            </w:pPr>
            <w:r w:rsidRPr="00E60F31">
              <w:rPr>
                <w:b/>
                <w:bCs/>
                <w:sz w:val="18"/>
                <w:szCs w:val="18"/>
                <w:lang w:val="en-US"/>
              </w:rPr>
              <w:t>Country</w:t>
            </w:r>
            <w:r w:rsidRPr="00E60F31">
              <w:rPr>
                <w:b/>
                <w:bCs/>
                <w:sz w:val="18"/>
                <w:szCs w:val="18"/>
                <w:lang w:val="en-US"/>
              </w:rPr>
              <w:br/>
              <w:t>Sector</w:t>
            </w:r>
          </w:p>
          <w:p w14:paraId="598081CC" w14:textId="77777777" w:rsidR="004D7210" w:rsidRPr="00E60F31" w:rsidRDefault="004D7210" w:rsidP="005442CF">
            <w:pPr>
              <w:rPr>
                <w:b/>
                <w:bCs/>
                <w:sz w:val="18"/>
                <w:szCs w:val="18"/>
                <w:lang w:val="en-US"/>
              </w:rPr>
            </w:pPr>
            <w:r w:rsidRPr="00E60F31">
              <w:rPr>
                <w:b/>
                <w:bCs/>
                <w:sz w:val="18"/>
                <w:szCs w:val="18"/>
                <w:lang w:val="en-US"/>
              </w:rPr>
              <w:t>N workers</w:t>
            </w:r>
          </w:p>
        </w:tc>
        <w:tc>
          <w:tcPr>
            <w:tcW w:w="1400" w:type="dxa"/>
            <w:shd w:val="clear" w:color="auto" w:fill="auto"/>
          </w:tcPr>
          <w:p w14:paraId="32005E14" w14:textId="77777777" w:rsidR="004D7210" w:rsidRPr="00E60F31" w:rsidRDefault="004D7210" w:rsidP="005442CF">
            <w:pPr>
              <w:rPr>
                <w:b/>
                <w:bCs/>
                <w:sz w:val="18"/>
                <w:szCs w:val="18"/>
                <w:lang w:val="en-US"/>
              </w:rPr>
            </w:pPr>
            <w:r w:rsidRPr="00E60F31">
              <w:rPr>
                <w:b/>
                <w:bCs/>
                <w:sz w:val="18"/>
                <w:szCs w:val="18"/>
                <w:lang w:val="en-US"/>
              </w:rPr>
              <w:t xml:space="preserve">Method of air sampling </w:t>
            </w:r>
          </w:p>
          <w:p w14:paraId="5325FF7A" w14:textId="77777777" w:rsidR="004D7210" w:rsidRPr="00E60F31" w:rsidRDefault="004D7210" w:rsidP="005442CF">
            <w:pPr>
              <w:rPr>
                <w:b/>
                <w:bCs/>
                <w:sz w:val="18"/>
                <w:szCs w:val="18"/>
                <w:lang w:val="en-US"/>
              </w:rPr>
            </w:pPr>
            <w:r w:rsidRPr="00E60F31">
              <w:rPr>
                <w:b/>
                <w:bCs/>
                <w:sz w:val="18"/>
                <w:szCs w:val="18"/>
                <w:lang w:val="en-US"/>
              </w:rPr>
              <w:t>Task based or 8-hr average</w:t>
            </w:r>
          </w:p>
        </w:tc>
        <w:tc>
          <w:tcPr>
            <w:tcW w:w="1335" w:type="dxa"/>
            <w:shd w:val="clear" w:color="auto" w:fill="auto"/>
          </w:tcPr>
          <w:p w14:paraId="73C6DFD5" w14:textId="77777777" w:rsidR="004D7210" w:rsidRPr="00E60F31" w:rsidRDefault="004D7210" w:rsidP="005442CF">
            <w:pPr>
              <w:rPr>
                <w:b/>
                <w:bCs/>
                <w:sz w:val="18"/>
                <w:szCs w:val="18"/>
              </w:rPr>
            </w:pPr>
            <w:r w:rsidRPr="00E60F31">
              <w:rPr>
                <w:b/>
                <w:bCs/>
                <w:sz w:val="18"/>
                <w:szCs w:val="18"/>
              </w:rPr>
              <w:t xml:space="preserve">Exposure </w:t>
            </w:r>
            <w:proofErr w:type="spellStart"/>
            <w:r w:rsidRPr="00E60F31">
              <w:rPr>
                <w:b/>
                <w:bCs/>
                <w:sz w:val="18"/>
                <w:szCs w:val="18"/>
              </w:rPr>
              <w:t>duration</w:t>
            </w:r>
            <w:proofErr w:type="spellEnd"/>
          </w:p>
          <w:p w14:paraId="2F85D987" w14:textId="77777777" w:rsidR="004D7210" w:rsidRPr="00E60F31" w:rsidRDefault="004D7210" w:rsidP="005442CF">
            <w:pPr>
              <w:rPr>
                <w:b/>
                <w:bCs/>
                <w:sz w:val="18"/>
                <w:szCs w:val="18"/>
              </w:rPr>
            </w:pPr>
            <w:proofErr w:type="spellStart"/>
            <w:r w:rsidRPr="00E60F31">
              <w:rPr>
                <w:b/>
                <w:bCs/>
                <w:sz w:val="18"/>
                <w:szCs w:val="18"/>
              </w:rPr>
              <w:t>Working</w:t>
            </w:r>
            <w:proofErr w:type="spellEnd"/>
            <w:r w:rsidRPr="00E60F31">
              <w:rPr>
                <w:b/>
                <w:bCs/>
                <w:sz w:val="18"/>
                <w:szCs w:val="18"/>
              </w:rPr>
              <w:t xml:space="preserve"> </w:t>
            </w:r>
            <w:proofErr w:type="spellStart"/>
            <w:r w:rsidRPr="00E60F31">
              <w:rPr>
                <w:b/>
                <w:bCs/>
                <w:sz w:val="18"/>
                <w:szCs w:val="18"/>
              </w:rPr>
              <w:t>history</w:t>
            </w:r>
            <w:proofErr w:type="spellEnd"/>
          </w:p>
        </w:tc>
        <w:tc>
          <w:tcPr>
            <w:tcW w:w="1560" w:type="dxa"/>
            <w:shd w:val="clear" w:color="auto" w:fill="auto"/>
          </w:tcPr>
          <w:p w14:paraId="3CF6E04B" w14:textId="77777777" w:rsidR="004D7210" w:rsidRPr="00E60F31" w:rsidRDefault="004D7210" w:rsidP="005442CF">
            <w:pPr>
              <w:rPr>
                <w:b/>
                <w:bCs/>
                <w:sz w:val="18"/>
                <w:szCs w:val="18"/>
              </w:rPr>
            </w:pPr>
            <w:r w:rsidRPr="00E60F31">
              <w:rPr>
                <w:b/>
                <w:bCs/>
                <w:sz w:val="18"/>
                <w:szCs w:val="18"/>
              </w:rPr>
              <w:t>Information on RPE</w:t>
            </w:r>
          </w:p>
        </w:tc>
        <w:tc>
          <w:tcPr>
            <w:tcW w:w="1544" w:type="dxa"/>
            <w:shd w:val="clear" w:color="auto" w:fill="auto"/>
          </w:tcPr>
          <w:p w14:paraId="66076553" w14:textId="77777777" w:rsidR="004D7210" w:rsidRPr="00E60F31" w:rsidRDefault="004D7210" w:rsidP="005442CF">
            <w:pPr>
              <w:rPr>
                <w:b/>
                <w:bCs/>
                <w:sz w:val="18"/>
                <w:szCs w:val="18"/>
              </w:rPr>
            </w:pPr>
            <w:proofErr w:type="spellStart"/>
            <w:r w:rsidRPr="00E60F31">
              <w:rPr>
                <w:b/>
                <w:bCs/>
                <w:sz w:val="18"/>
                <w:szCs w:val="18"/>
              </w:rPr>
              <w:t>Other</w:t>
            </w:r>
            <w:proofErr w:type="spellEnd"/>
            <w:r w:rsidRPr="00E60F31">
              <w:rPr>
                <w:b/>
                <w:bCs/>
                <w:sz w:val="18"/>
                <w:szCs w:val="18"/>
              </w:rPr>
              <w:t xml:space="preserve"> information</w:t>
            </w:r>
          </w:p>
        </w:tc>
        <w:tc>
          <w:tcPr>
            <w:tcW w:w="1701" w:type="dxa"/>
            <w:shd w:val="clear" w:color="auto" w:fill="auto"/>
          </w:tcPr>
          <w:p w14:paraId="44C71750" w14:textId="77777777" w:rsidR="004D7210" w:rsidRPr="00E60F31" w:rsidRDefault="004D7210" w:rsidP="005442CF">
            <w:pPr>
              <w:rPr>
                <w:b/>
                <w:bCs/>
                <w:sz w:val="18"/>
                <w:szCs w:val="18"/>
              </w:rPr>
            </w:pPr>
            <w:r>
              <w:rPr>
                <w:b/>
                <w:bCs/>
                <w:sz w:val="18"/>
                <w:szCs w:val="18"/>
              </w:rPr>
              <w:t>S</w:t>
            </w:r>
            <w:r w:rsidRPr="00B137CF">
              <w:rPr>
                <w:b/>
                <w:bCs/>
                <w:sz w:val="18"/>
                <w:szCs w:val="18"/>
              </w:rPr>
              <w:t xml:space="preserve">ample </w:t>
            </w:r>
            <w:proofErr w:type="spellStart"/>
            <w:r w:rsidRPr="00B137CF">
              <w:rPr>
                <w:b/>
                <w:bCs/>
                <w:sz w:val="18"/>
                <w:szCs w:val="18"/>
              </w:rPr>
              <w:t>collection</w:t>
            </w:r>
            <w:proofErr w:type="spellEnd"/>
            <w:r w:rsidRPr="00B137CF">
              <w:rPr>
                <w:b/>
                <w:bCs/>
                <w:sz w:val="18"/>
                <w:szCs w:val="18"/>
              </w:rPr>
              <w:t xml:space="preserve"> </w:t>
            </w:r>
            <w:proofErr w:type="spellStart"/>
            <w:r w:rsidRPr="00B137CF">
              <w:rPr>
                <w:b/>
                <w:bCs/>
                <w:sz w:val="18"/>
                <w:szCs w:val="18"/>
              </w:rPr>
              <w:t>specification</w:t>
            </w:r>
            <w:proofErr w:type="spellEnd"/>
          </w:p>
        </w:tc>
        <w:tc>
          <w:tcPr>
            <w:tcW w:w="1276" w:type="dxa"/>
            <w:shd w:val="clear" w:color="auto" w:fill="auto"/>
          </w:tcPr>
          <w:p w14:paraId="24D64310" w14:textId="77777777" w:rsidR="004D7210" w:rsidRPr="00E60F31" w:rsidRDefault="004D7210" w:rsidP="005442CF">
            <w:pPr>
              <w:rPr>
                <w:b/>
                <w:bCs/>
                <w:sz w:val="18"/>
                <w:szCs w:val="18"/>
              </w:rPr>
            </w:pPr>
            <w:r w:rsidRPr="00E60F31">
              <w:rPr>
                <w:b/>
                <w:bCs/>
                <w:sz w:val="18"/>
                <w:szCs w:val="18"/>
              </w:rPr>
              <w:t>Exposure (</w:t>
            </w:r>
            <w:r w:rsidRPr="00E60F31">
              <w:rPr>
                <w:b/>
                <w:bCs/>
                <w:sz w:val="18"/>
                <w:szCs w:val="18"/>
                <w:lang w:val="en-US"/>
              </w:rPr>
              <w:t>µ</w:t>
            </w:r>
            <w:r w:rsidRPr="00E60F31">
              <w:rPr>
                <w:b/>
                <w:bCs/>
                <w:sz w:val="18"/>
                <w:szCs w:val="18"/>
              </w:rPr>
              <w:t>g/m</w:t>
            </w:r>
            <w:r w:rsidRPr="00E60F31">
              <w:rPr>
                <w:b/>
                <w:bCs/>
                <w:sz w:val="18"/>
                <w:szCs w:val="18"/>
                <w:vertAlign w:val="superscript"/>
              </w:rPr>
              <w:t>3</w:t>
            </w:r>
            <w:r w:rsidRPr="00E60F31">
              <w:rPr>
                <w:b/>
                <w:bCs/>
                <w:sz w:val="18"/>
                <w:szCs w:val="18"/>
              </w:rPr>
              <w:t>)</w:t>
            </w:r>
          </w:p>
        </w:tc>
        <w:tc>
          <w:tcPr>
            <w:tcW w:w="2410" w:type="dxa"/>
            <w:shd w:val="clear" w:color="auto" w:fill="auto"/>
          </w:tcPr>
          <w:p w14:paraId="4AD77EF9" w14:textId="77777777" w:rsidR="004D7210" w:rsidRPr="00E60F31" w:rsidRDefault="004D7210" w:rsidP="005442CF">
            <w:pPr>
              <w:rPr>
                <w:b/>
                <w:bCs/>
                <w:sz w:val="18"/>
                <w:szCs w:val="18"/>
                <w:lang w:val="en-US"/>
              </w:rPr>
            </w:pPr>
            <w:r w:rsidRPr="00E60F31">
              <w:rPr>
                <w:b/>
                <w:bCs/>
                <w:sz w:val="18"/>
                <w:szCs w:val="18"/>
                <w:lang w:val="en-US"/>
              </w:rPr>
              <w:t xml:space="preserve">Urinary concentration </w:t>
            </w:r>
            <w:r w:rsidRPr="00E60F31">
              <w:rPr>
                <w:rStyle w:val="FootnoteReference"/>
                <w:sz w:val="18"/>
                <w:szCs w:val="18"/>
              </w:rPr>
              <w:footnoteReference w:id="1"/>
            </w:r>
          </w:p>
        </w:tc>
        <w:tc>
          <w:tcPr>
            <w:tcW w:w="1417" w:type="dxa"/>
            <w:shd w:val="clear" w:color="auto" w:fill="auto"/>
          </w:tcPr>
          <w:p w14:paraId="482EFF35" w14:textId="77777777" w:rsidR="004D7210" w:rsidRPr="00E60F31" w:rsidRDefault="004D7210" w:rsidP="005442CF">
            <w:pPr>
              <w:rPr>
                <w:b/>
                <w:bCs/>
                <w:sz w:val="18"/>
                <w:szCs w:val="18"/>
              </w:rPr>
            </w:pPr>
            <w:r w:rsidRPr="00E60F31">
              <w:rPr>
                <w:b/>
                <w:bCs/>
                <w:sz w:val="18"/>
                <w:szCs w:val="18"/>
              </w:rPr>
              <w:t xml:space="preserve">Reference </w:t>
            </w:r>
          </w:p>
        </w:tc>
      </w:tr>
      <w:tr w:rsidR="006D20E6" w:rsidRPr="00EE2AEF" w14:paraId="5CE14008" w14:textId="77777777" w:rsidTr="005442CF">
        <w:trPr>
          <w:trHeight w:val="610"/>
        </w:trPr>
        <w:tc>
          <w:tcPr>
            <w:tcW w:w="1229" w:type="dxa"/>
            <w:vMerge w:val="restart"/>
            <w:shd w:val="clear" w:color="auto" w:fill="auto"/>
          </w:tcPr>
          <w:p w14:paraId="2787A4CA" w14:textId="77777777" w:rsidR="004D7210" w:rsidRPr="00B137CF" w:rsidRDefault="004D7210" w:rsidP="005442CF">
            <w:pPr>
              <w:rPr>
                <w:sz w:val="18"/>
                <w:szCs w:val="18"/>
                <w:lang w:val="fr-FR"/>
              </w:rPr>
            </w:pPr>
            <w:proofErr w:type="spellStart"/>
            <w:r w:rsidRPr="00B137CF">
              <w:rPr>
                <w:sz w:val="18"/>
                <w:szCs w:val="18"/>
                <w:lang w:val="fr-FR"/>
              </w:rPr>
              <w:t>Belgium</w:t>
            </w:r>
            <w:proofErr w:type="spellEnd"/>
          </w:p>
          <w:p w14:paraId="19C9A570" w14:textId="77777777" w:rsidR="004D7210" w:rsidRPr="00B137CF" w:rsidRDefault="004D7210" w:rsidP="005442CF">
            <w:pPr>
              <w:rPr>
                <w:sz w:val="18"/>
                <w:szCs w:val="18"/>
                <w:lang w:val="fr-FR"/>
              </w:rPr>
            </w:pPr>
            <w:r w:rsidRPr="00B137CF">
              <w:rPr>
                <w:sz w:val="18"/>
                <w:szCs w:val="18"/>
                <w:lang w:val="fr-FR"/>
              </w:rPr>
              <w:t xml:space="preserve">PU </w:t>
            </w:r>
            <w:proofErr w:type="spellStart"/>
            <w:r w:rsidRPr="00B137CF">
              <w:rPr>
                <w:sz w:val="18"/>
                <w:szCs w:val="18"/>
                <w:lang w:val="fr-FR"/>
              </w:rPr>
              <w:t>foam</w:t>
            </w:r>
            <w:proofErr w:type="spellEnd"/>
            <w:r w:rsidRPr="00B137CF">
              <w:rPr>
                <w:sz w:val="18"/>
                <w:szCs w:val="18"/>
                <w:lang w:val="fr-FR"/>
              </w:rPr>
              <w:t xml:space="preserve"> production plant</w:t>
            </w:r>
          </w:p>
          <w:p w14:paraId="67DC7B2C" w14:textId="77777777" w:rsidR="004D7210" w:rsidRPr="00B137CF" w:rsidRDefault="004D7210" w:rsidP="005442CF">
            <w:pPr>
              <w:rPr>
                <w:sz w:val="18"/>
                <w:szCs w:val="18"/>
                <w:lang w:val="fr-FR"/>
              </w:rPr>
            </w:pPr>
            <w:r w:rsidRPr="00B137CF">
              <w:rPr>
                <w:sz w:val="18"/>
                <w:szCs w:val="18"/>
                <w:lang w:val="fr-FR"/>
              </w:rPr>
              <w:t>N = 9</w:t>
            </w:r>
          </w:p>
        </w:tc>
        <w:tc>
          <w:tcPr>
            <w:tcW w:w="1400" w:type="dxa"/>
            <w:vMerge w:val="restart"/>
            <w:shd w:val="clear" w:color="auto" w:fill="auto"/>
          </w:tcPr>
          <w:p w14:paraId="106E3DC0" w14:textId="77777777" w:rsidR="004D7210" w:rsidRPr="00E60F31" w:rsidRDefault="004D7210" w:rsidP="005442CF">
            <w:pPr>
              <w:rPr>
                <w:sz w:val="18"/>
                <w:szCs w:val="18"/>
                <w:lang w:val="en-US"/>
              </w:rPr>
            </w:pPr>
            <w:r w:rsidRPr="00E60F31">
              <w:rPr>
                <w:sz w:val="18"/>
                <w:szCs w:val="18"/>
                <w:lang w:val="en-US"/>
              </w:rPr>
              <w:t xml:space="preserve">Personal sampling </w:t>
            </w:r>
          </w:p>
          <w:p w14:paraId="70439E67" w14:textId="77777777" w:rsidR="004D7210" w:rsidRPr="00E60F31" w:rsidRDefault="004D7210" w:rsidP="005442CF">
            <w:pPr>
              <w:rPr>
                <w:b/>
                <w:bCs/>
                <w:sz w:val="18"/>
                <w:szCs w:val="18"/>
                <w:lang w:val="en-US"/>
              </w:rPr>
            </w:pPr>
            <w:r w:rsidRPr="00E60F31">
              <w:rPr>
                <w:sz w:val="18"/>
                <w:szCs w:val="18"/>
                <w:lang w:val="en-US"/>
              </w:rPr>
              <w:br/>
            </w:r>
            <w:r w:rsidRPr="00E60F31">
              <w:rPr>
                <w:b/>
                <w:bCs/>
                <w:sz w:val="18"/>
                <w:szCs w:val="18"/>
                <w:lang w:val="en-US"/>
              </w:rPr>
              <w:t xml:space="preserve">Task based </w:t>
            </w:r>
            <w:r w:rsidRPr="00E60F31">
              <w:rPr>
                <w:sz w:val="18"/>
                <w:szCs w:val="18"/>
                <w:lang w:val="en-US"/>
              </w:rPr>
              <w:t>(AM of 313 min)</w:t>
            </w:r>
          </w:p>
        </w:tc>
        <w:tc>
          <w:tcPr>
            <w:tcW w:w="1335" w:type="dxa"/>
            <w:vMerge w:val="restart"/>
            <w:shd w:val="clear" w:color="auto" w:fill="auto"/>
          </w:tcPr>
          <w:p w14:paraId="6D20C356" w14:textId="77777777" w:rsidR="004D7210" w:rsidRPr="00E60F31" w:rsidRDefault="004D7210" w:rsidP="005442CF">
            <w:pPr>
              <w:rPr>
                <w:sz w:val="18"/>
                <w:szCs w:val="18"/>
                <w:lang w:val="en-US"/>
              </w:rPr>
            </w:pPr>
            <w:r w:rsidRPr="00E60F31">
              <w:rPr>
                <w:sz w:val="18"/>
                <w:szCs w:val="18"/>
                <w:lang w:val="en-US"/>
              </w:rPr>
              <w:t>No information</w:t>
            </w:r>
          </w:p>
        </w:tc>
        <w:tc>
          <w:tcPr>
            <w:tcW w:w="1560" w:type="dxa"/>
            <w:vMerge w:val="restart"/>
            <w:shd w:val="clear" w:color="auto" w:fill="auto"/>
          </w:tcPr>
          <w:p w14:paraId="1CF2A611" w14:textId="77777777" w:rsidR="004D7210" w:rsidRPr="00E60F31" w:rsidRDefault="004D7210" w:rsidP="005442CF">
            <w:pPr>
              <w:rPr>
                <w:sz w:val="18"/>
                <w:szCs w:val="18"/>
              </w:rPr>
            </w:pPr>
            <w:proofErr w:type="spellStart"/>
            <w:r w:rsidRPr="00E60F31">
              <w:rPr>
                <w:sz w:val="18"/>
                <w:szCs w:val="18"/>
              </w:rPr>
              <w:t>Worn</w:t>
            </w:r>
            <w:proofErr w:type="spellEnd"/>
            <w:r w:rsidRPr="00E60F31">
              <w:rPr>
                <w:sz w:val="18"/>
                <w:szCs w:val="18"/>
              </w:rPr>
              <w:t xml:space="preserve"> </w:t>
            </w:r>
            <w:proofErr w:type="spellStart"/>
            <w:r w:rsidRPr="00E60F31">
              <w:rPr>
                <w:sz w:val="18"/>
                <w:szCs w:val="18"/>
              </w:rPr>
              <w:t>inconsistently</w:t>
            </w:r>
            <w:proofErr w:type="spellEnd"/>
          </w:p>
        </w:tc>
        <w:tc>
          <w:tcPr>
            <w:tcW w:w="1544" w:type="dxa"/>
            <w:vMerge w:val="restart"/>
            <w:shd w:val="clear" w:color="auto" w:fill="auto"/>
          </w:tcPr>
          <w:p w14:paraId="23D99C57" w14:textId="77777777" w:rsidR="004D7210" w:rsidRPr="00E60F31" w:rsidRDefault="004D7210" w:rsidP="005442CF">
            <w:pPr>
              <w:rPr>
                <w:sz w:val="18"/>
                <w:szCs w:val="18"/>
                <w:lang w:val="en-US"/>
              </w:rPr>
            </w:pPr>
          </w:p>
        </w:tc>
        <w:tc>
          <w:tcPr>
            <w:tcW w:w="1701" w:type="dxa"/>
            <w:vMerge w:val="restart"/>
            <w:shd w:val="clear" w:color="auto" w:fill="auto"/>
          </w:tcPr>
          <w:p w14:paraId="6E4F77FD" w14:textId="77777777" w:rsidR="004D7210" w:rsidRPr="00E60F31" w:rsidRDefault="004D7210" w:rsidP="005442CF">
            <w:pPr>
              <w:rPr>
                <w:sz w:val="18"/>
                <w:szCs w:val="18"/>
                <w:lang w:val="en-US"/>
              </w:rPr>
            </w:pPr>
            <w:proofErr w:type="spellStart"/>
            <w:r w:rsidRPr="00E60F31">
              <w:rPr>
                <w:sz w:val="18"/>
                <w:szCs w:val="18"/>
                <w:lang w:val="en-US"/>
              </w:rPr>
              <w:t>Hydrolysed</w:t>
            </w:r>
            <w:proofErr w:type="spellEnd"/>
            <w:r w:rsidRPr="00E60F31">
              <w:rPr>
                <w:sz w:val="18"/>
                <w:szCs w:val="18"/>
                <w:lang w:val="en-US"/>
              </w:rPr>
              <w:t xml:space="preserve"> overnight in 0.5 M of sodium hydroxide (alkaline) </w:t>
            </w:r>
          </w:p>
        </w:tc>
        <w:tc>
          <w:tcPr>
            <w:tcW w:w="1276" w:type="dxa"/>
            <w:shd w:val="clear" w:color="auto" w:fill="auto"/>
          </w:tcPr>
          <w:p w14:paraId="79BB2290" w14:textId="77777777" w:rsidR="004D7210" w:rsidRPr="00E60F31" w:rsidRDefault="004D7210" w:rsidP="005442CF">
            <w:pPr>
              <w:rPr>
                <w:sz w:val="18"/>
                <w:szCs w:val="18"/>
                <w:lang w:val="en-US"/>
              </w:rPr>
            </w:pPr>
            <w:r w:rsidRPr="00E60F31">
              <w:rPr>
                <w:sz w:val="18"/>
                <w:szCs w:val="18"/>
                <w:lang w:val="en-US"/>
              </w:rPr>
              <w:t xml:space="preserve">39.45 (AM) </w:t>
            </w:r>
          </w:p>
        </w:tc>
        <w:tc>
          <w:tcPr>
            <w:tcW w:w="2410" w:type="dxa"/>
            <w:shd w:val="clear" w:color="auto" w:fill="auto"/>
          </w:tcPr>
          <w:p w14:paraId="1B29DFAE" w14:textId="77777777" w:rsidR="004D7210" w:rsidRPr="00E60F31" w:rsidRDefault="004D7210" w:rsidP="005442CF">
            <w:pPr>
              <w:rPr>
                <w:sz w:val="18"/>
                <w:szCs w:val="18"/>
                <w:lang w:val="en-US"/>
              </w:rPr>
            </w:pPr>
            <w:r w:rsidRPr="00E60F31">
              <w:rPr>
                <w:sz w:val="18"/>
                <w:szCs w:val="18"/>
                <w:lang w:val="en-US"/>
              </w:rPr>
              <w:t>37.46 ug/L (Friday post-shift)</w:t>
            </w:r>
          </w:p>
        </w:tc>
        <w:tc>
          <w:tcPr>
            <w:tcW w:w="1417" w:type="dxa"/>
            <w:vMerge w:val="restart"/>
            <w:shd w:val="clear" w:color="auto" w:fill="auto"/>
          </w:tcPr>
          <w:p w14:paraId="3076E94F" w14:textId="3257184C" w:rsidR="004D7210" w:rsidRPr="00EA45CF" w:rsidRDefault="006D20E6" w:rsidP="005442CF">
            <w:pPr>
              <w:rPr>
                <w:i/>
                <w:iCs/>
                <w:sz w:val="18"/>
                <w:szCs w:val="18"/>
              </w:rPr>
            </w:pPr>
            <w:r>
              <w:rPr>
                <w:i/>
                <w:iCs/>
                <w:sz w:val="18"/>
                <w:szCs w:val="18"/>
              </w:rPr>
              <w:fldChar w:fldCharType="begin" w:fldLock="1"/>
            </w:r>
            <w:r>
              <w:rPr>
                <w:i/>
                <w:iCs/>
                <w:sz w:val="18"/>
                <w:szCs w:val="18"/>
              </w:rPr>
              <w:instrText>ADDIN CSL_CITATION {"citationItems":[{"id":"ITEM-1","itemData":{"DOI":"10.1136/OEM.2011.064840","ISSN":"1351-0711","PMID":"21725071","abstract":"Objectives Toluene diisocyanate (TDI) is used in the manufacturing process of polyurethane (PU) foams and is a potent inducer of occupational asthma. The objective of this study was to evaluate the correlation between the exposure to total TDI (2,4- and 2,6-TDI) in air and the corresponding biomarker concentration of total TDA (2,4- and 2,6-TDA) in hydrolysed urine. The aim was also to propose an appropriate biological exposure limit for total TDA in urine.\n\nMethods 9 workers from two production lines in a PU foam producing plant were studied. Personal exposure to TDI during four representative production shifts was monitored by an active air sampling method (filter impregnated with 1-(2-methoxyphenyl)piperazine) and quantified by high-performance liquid chromatography and diode array detection (NIOSH n° 2535, 5521). In parallel, pre-shift and post-shift urinary samples were collected from the exposed workers, and TDA concentrations were determined by gas chromatography–mass spectrometry after alkaline hydrolysis. All samples were collected on four measuring days: two Fridays (end of workweek) and two Mondays (start of workweek) separated by a weekend without exposure.\n\nResults Strong correlations between the personal air concentrations of total TDI and the corresponding biomarker levels of total TDA in urine (r=0.816) were observed. An increase of 18.12 μg TDA/l (post-shift minus pre-shift concentration) corresponds to an exposure of 5 ppb (37 μg/m3, the current American Conference of Governmental Industrial Hygienists threshold limit value) during the shift.\n\nConclusions The increase in TDA during the shift is a suitable biomarker for exposure to TDI during the same shift. Further research is needed to evaluate the use of start of week or</w:instrText>
            </w:r>
            <w:r w:rsidRPr="00EA45CF">
              <w:rPr>
                <w:i/>
                <w:iCs/>
                <w:sz w:val="18"/>
                <w:szCs w:val="18"/>
              </w:rPr>
              <w:instrText xml:space="preserve"> end of week post-shift TDA in urine as biomarker since TDA was found to accumulate during the working week and thus the moment of sampling will clearly influence the result.","author":[{"dropping-particle":"","family":"Geens","given":"Tom","non-dropping-particle":"","parse-names":false,"suffix":""},{"dropping-particle":"","family":"Dugardin","given":"Sandra","non-dropping-particle":"","parse-names":false,"suffix":""},{"dropping-particle":"","family":"Schockaert","given":"Ann","non-dropping-particle":"","parse-names":false,"suffix":""},{"dropping-particle":"","family":"Cooman","given":"Geert","non-dropping-particle":"De","parse-names":false,"suffix":""},{"dropping-particle":"","family":"Sprundel","given":"Marc","non-dropping-particle":"Van","parse-names":false,"suffix":""}],"container-title":"Occupational and Environmental Medicine","id":"ITEM-1","issue":"2","issued":{"date-parts":[["2012","2","1"]]},"page":"93-98","publisher":"BMJ Publishing Group Ltd","title":"Air exposure assessment of TDI and biological monitoring of TDA in urine in workers in polyurethane foam industry","type":"article-journal","volume":"69"},"uris":["http://www.mendeley.com/documents/?uuid=b04bfbb6-ccc9-3be2-ab37-4b64b7ef1699"]}],"mendeley":{"formattedCitation":"(Geens et al. 2012)","plainTextFormattedCitation":"(Geens et al. 2012)","previouslyFormattedCitation":"(Geens et al. 2012)"},"properties":{"noteIndex":0},"schema":"https://github.com/citation-style-language/schema/raw/master/csl-citation.json"}</w:instrText>
            </w:r>
            <w:r>
              <w:rPr>
                <w:i/>
                <w:iCs/>
                <w:sz w:val="18"/>
                <w:szCs w:val="18"/>
              </w:rPr>
              <w:fldChar w:fldCharType="separate"/>
            </w:r>
            <w:r w:rsidRPr="00EA45CF">
              <w:rPr>
                <w:iCs/>
                <w:noProof/>
                <w:sz w:val="18"/>
                <w:szCs w:val="18"/>
              </w:rPr>
              <w:t>(Geens et al. 2012)</w:t>
            </w:r>
            <w:r>
              <w:rPr>
                <w:i/>
                <w:iCs/>
                <w:sz w:val="18"/>
                <w:szCs w:val="18"/>
              </w:rPr>
              <w:fldChar w:fldCharType="end"/>
            </w:r>
          </w:p>
        </w:tc>
      </w:tr>
      <w:tr w:rsidR="006D20E6" w:rsidRPr="00EE2AEF" w14:paraId="71A914DB" w14:textId="77777777" w:rsidTr="005442CF">
        <w:trPr>
          <w:trHeight w:val="610"/>
        </w:trPr>
        <w:tc>
          <w:tcPr>
            <w:tcW w:w="1229" w:type="dxa"/>
            <w:vMerge/>
            <w:shd w:val="clear" w:color="auto" w:fill="auto"/>
          </w:tcPr>
          <w:p w14:paraId="486265EC" w14:textId="77777777" w:rsidR="004D7210" w:rsidRPr="00EA45CF" w:rsidRDefault="004D7210" w:rsidP="005442CF">
            <w:pPr>
              <w:rPr>
                <w:sz w:val="18"/>
                <w:szCs w:val="18"/>
              </w:rPr>
            </w:pPr>
          </w:p>
        </w:tc>
        <w:tc>
          <w:tcPr>
            <w:tcW w:w="1400" w:type="dxa"/>
            <w:vMerge/>
            <w:shd w:val="clear" w:color="auto" w:fill="auto"/>
          </w:tcPr>
          <w:p w14:paraId="01ECE19C" w14:textId="77777777" w:rsidR="004D7210" w:rsidRPr="00EA45CF" w:rsidRDefault="004D7210" w:rsidP="005442CF">
            <w:pPr>
              <w:rPr>
                <w:sz w:val="18"/>
                <w:szCs w:val="18"/>
              </w:rPr>
            </w:pPr>
          </w:p>
        </w:tc>
        <w:tc>
          <w:tcPr>
            <w:tcW w:w="1335" w:type="dxa"/>
            <w:vMerge/>
            <w:shd w:val="clear" w:color="auto" w:fill="auto"/>
          </w:tcPr>
          <w:p w14:paraId="7797CD19" w14:textId="77777777" w:rsidR="004D7210" w:rsidRPr="00EA45CF" w:rsidRDefault="004D7210" w:rsidP="005442CF">
            <w:pPr>
              <w:rPr>
                <w:sz w:val="18"/>
                <w:szCs w:val="18"/>
              </w:rPr>
            </w:pPr>
          </w:p>
        </w:tc>
        <w:tc>
          <w:tcPr>
            <w:tcW w:w="1560" w:type="dxa"/>
            <w:vMerge/>
            <w:shd w:val="clear" w:color="auto" w:fill="auto"/>
          </w:tcPr>
          <w:p w14:paraId="15A43777" w14:textId="77777777" w:rsidR="004D7210" w:rsidRPr="00EA45CF" w:rsidRDefault="004D7210" w:rsidP="005442CF">
            <w:pPr>
              <w:rPr>
                <w:sz w:val="18"/>
                <w:szCs w:val="18"/>
              </w:rPr>
            </w:pPr>
          </w:p>
        </w:tc>
        <w:tc>
          <w:tcPr>
            <w:tcW w:w="1544" w:type="dxa"/>
            <w:vMerge/>
            <w:shd w:val="clear" w:color="auto" w:fill="auto"/>
          </w:tcPr>
          <w:p w14:paraId="57F092B1" w14:textId="77777777" w:rsidR="004D7210" w:rsidRPr="00EA45CF" w:rsidRDefault="004D7210" w:rsidP="005442CF">
            <w:pPr>
              <w:rPr>
                <w:sz w:val="18"/>
                <w:szCs w:val="18"/>
              </w:rPr>
            </w:pPr>
          </w:p>
        </w:tc>
        <w:tc>
          <w:tcPr>
            <w:tcW w:w="1701" w:type="dxa"/>
            <w:vMerge/>
            <w:shd w:val="clear" w:color="auto" w:fill="auto"/>
          </w:tcPr>
          <w:p w14:paraId="43386E90" w14:textId="77777777" w:rsidR="004D7210" w:rsidRPr="00EA45CF" w:rsidRDefault="004D7210" w:rsidP="005442CF">
            <w:pPr>
              <w:rPr>
                <w:sz w:val="18"/>
                <w:szCs w:val="18"/>
              </w:rPr>
            </w:pPr>
          </w:p>
        </w:tc>
        <w:tc>
          <w:tcPr>
            <w:tcW w:w="1276" w:type="dxa"/>
            <w:shd w:val="clear" w:color="auto" w:fill="auto"/>
          </w:tcPr>
          <w:p w14:paraId="66F6511E" w14:textId="77777777" w:rsidR="004D7210" w:rsidRPr="00EA45CF" w:rsidRDefault="004D7210" w:rsidP="005442CF">
            <w:pPr>
              <w:rPr>
                <w:sz w:val="18"/>
                <w:szCs w:val="18"/>
              </w:rPr>
            </w:pPr>
            <w:r w:rsidRPr="00EA45CF">
              <w:rPr>
                <w:sz w:val="18"/>
                <w:szCs w:val="18"/>
              </w:rPr>
              <w:t xml:space="preserve">21.94 </w:t>
            </w:r>
          </w:p>
        </w:tc>
        <w:tc>
          <w:tcPr>
            <w:tcW w:w="2410" w:type="dxa"/>
            <w:shd w:val="clear" w:color="auto" w:fill="auto"/>
          </w:tcPr>
          <w:p w14:paraId="1292DEB1" w14:textId="77777777" w:rsidR="004D7210" w:rsidRPr="00EA45CF" w:rsidRDefault="004D7210" w:rsidP="005442CF">
            <w:pPr>
              <w:rPr>
                <w:sz w:val="18"/>
                <w:szCs w:val="18"/>
              </w:rPr>
            </w:pPr>
            <w:r w:rsidRPr="00EA45CF">
              <w:rPr>
                <w:sz w:val="18"/>
                <w:szCs w:val="18"/>
              </w:rPr>
              <w:t xml:space="preserve">13.47 </w:t>
            </w:r>
            <w:proofErr w:type="spellStart"/>
            <w:r w:rsidRPr="00EA45CF">
              <w:rPr>
                <w:sz w:val="18"/>
                <w:szCs w:val="18"/>
              </w:rPr>
              <w:t>ug</w:t>
            </w:r>
            <w:proofErr w:type="spellEnd"/>
            <w:r w:rsidRPr="00EA45CF">
              <w:rPr>
                <w:sz w:val="18"/>
                <w:szCs w:val="18"/>
              </w:rPr>
              <w:t>/L (</w:t>
            </w:r>
            <w:proofErr w:type="spellStart"/>
            <w:r w:rsidRPr="00EA45CF">
              <w:rPr>
                <w:sz w:val="18"/>
                <w:szCs w:val="18"/>
              </w:rPr>
              <w:t>Monday</w:t>
            </w:r>
            <w:proofErr w:type="spellEnd"/>
            <w:r w:rsidRPr="00EA45CF">
              <w:rPr>
                <w:sz w:val="18"/>
                <w:szCs w:val="18"/>
              </w:rPr>
              <w:t xml:space="preserve"> post-shift)</w:t>
            </w:r>
          </w:p>
        </w:tc>
        <w:tc>
          <w:tcPr>
            <w:tcW w:w="1417" w:type="dxa"/>
            <w:vMerge/>
            <w:shd w:val="clear" w:color="auto" w:fill="auto"/>
          </w:tcPr>
          <w:p w14:paraId="2775EA45" w14:textId="77777777" w:rsidR="004D7210" w:rsidRPr="00EA45CF" w:rsidRDefault="004D7210" w:rsidP="005442CF">
            <w:pPr>
              <w:rPr>
                <w:rStyle w:val="CommentReference"/>
                <w:rFonts w:ascii="Calibri" w:hAnsi="Calibri" w:cs="Calibri"/>
              </w:rPr>
            </w:pPr>
          </w:p>
        </w:tc>
      </w:tr>
      <w:tr w:rsidR="006D20E6" w:rsidRPr="00EE2AEF" w14:paraId="24198B41" w14:textId="77777777" w:rsidTr="005442CF">
        <w:tc>
          <w:tcPr>
            <w:tcW w:w="1229" w:type="dxa"/>
            <w:vMerge/>
            <w:shd w:val="clear" w:color="auto" w:fill="auto"/>
          </w:tcPr>
          <w:p w14:paraId="7E9213CF" w14:textId="77777777" w:rsidR="004D7210" w:rsidRPr="00EA45CF" w:rsidRDefault="004D7210" w:rsidP="005442CF">
            <w:pPr>
              <w:rPr>
                <w:sz w:val="18"/>
                <w:szCs w:val="18"/>
              </w:rPr>
            </w:pPr>
          </w:p>
        </w:tc>
        <w:tc>
          <w:tcPr>
            <w:tcW w:w="1400" w:type="dxa"/>
            <w:vMerge/>
            <w:shd w:val="clear" w:color="auto" w:fill="auto"/>
          </w:tcPr>
          <w:p w14:paraId="450EEEF3" w14:textId="77777777" w:rsidR="004D7210" w:rsidRPr="00EA45CF" w:rsidRDefault="004D7210" w:rsidP="005442CF">
            <w:pPr>
              <w:rPr>
                <w:sz w:val="18"/>
                <w:szCs w:val="18"/>
              </w:rPr>
            </w:pPr>
          </w:p>
        </w:tc>
        <w:tc>
          <w:tcPr>
            <w:tcW w:w="1335" w:type="dxa"/>
            <w:vMerge/>
            <w:shd w:val="clear" w:color="auto" w:fill="auto"/>
          </w:tcPr>
          <w:p w14:paraId="68F1B8C4" w14:textId="77777777" w:rsidR="004D7210" w:rsidRPr="00EA45CF" w:rsidRDefault="004D7210" w:rsidP="005442CF">
            <w:pPr>
              <w:rPr>
                <w:sz w:val="18"/>
                <w:szCs w:val="18"/>
              </w:rPr>
            </w:pPr>
          </w:p>
        </w:tc>
        <w:tc>
          <w:tcPr>
            <w:tcW w:w="1560" w:type="dxa"/>
            <w:vMerge/>
            <w:shd w:val="clear" w:color="auto" w:fill="auto"/>
          </w:tcPr>
          <w:p w14:paraId="1C4A24E7" w14:textId="77777777" w:rsidR="004D7210" w:rsidRPr="00EA45CF" w:rsidRDefault="004D7210" w:rsidP="005442CF">
            <w:pPr>
              <w:rPr>
                <w:sz w:val="18"/>
                <w:szCs w:val="18"/>
              </w:rPr>
            </w:pPr>
          </w:p>
        </w:tc>
        <w:tc>
          <w:tcPr>
            <w:tcW w:w="1544" w:type="dxa"/>
            <w:vMerge/>
            <w:shd w:val="clear" w:color="auto" w:fill="auto"/>
          </w:tcPr>
          <w:p w14:paraId="63766265" w14:textId="77777777" w:rsidR="004D7210" w:rsidRPr="00EA45CF" w:rsidRDefault="004D7210" w:rsidP="005442CF">
            <w:pPr>
              <w:rPr>
                <w:sz w:val="18"/>
                <w:szCs w:val="18"/>
              </w:rPr>
            </w:pPr>
          </w:p>
        </w:tc>
        <w:tc>
          <w:tcPr>
            <w:tcW w:w="1701" w:type="dxa"/>
            <w:vMerge/>
            <w:shd w:val="clear" w:color="auto" w:fill="auto"/>
          </w:tcPr>
          <w:p w14:paraId="4FA9AA89" w14:textId="77777777" w:rsidR="004D7210" w:rsidRPr="00EA45CF" w:rsidRDefault="004D7210" w:rsidP="005442CF">
            <w:pPr>
              <w:rPr>
                <w:sz w:val="18"/>
                <w:szCs w:val="18"/>
              </w:rPr>
            </w:pPr>
          </w:p>
        </w:tc>
        <w:tc>
          <w:tcPr>
            <w:tcW w:w="1276" w:type="dxa"/>
            <w:shd w:val="clear" w:color="auto" w:fill="auto"/>
          </w:tcPr>
          <w:p w14:paraId="3B002E8C" w14:textId="77777777" w:rsidR="004D7210" w:rsidRPr="00EA45CF" w:rsidRDefault="004D7210" w:rsidP="005442CF">
            <w:pPr>
              <w:rPr>
                <w:sz w:val="18"/>
                <w:szCs w:val="18"/>
              </w:rPr>
            </w:pPr>
            <w:r w:rsidRPr="00EA45CF">
              <w:rPr>
                <w:sz w:val="18"/>
                <w:szCs w:val="18"/>
              </w:rPr>
              <w:t xml:space="preserve">39.45 (AM) </w:t>
            </w:r>
          </w:p>
        </w:tc>
        <w:tc>
          <w:tcPr>
            <w:tcW w:w="2410" w:type="dxa"/>
            <w:shd w:val="clear" w:color="auto" w:fill="auto"/>
          </w:tcPr>
          <w:p w14:paraId="11069677" w14:textId="77777777" w:rsidR="004D7210" w:rsidRPr="00EA45CF" w:rsidRDefault="004D7210" w:rsidP="005442CF">
            <w:pPr>
              <w:rPr>
                <w:sz w:val="18"/>
                <w:szCs w:val="18"/>
              </w:rPr>
            </w:pPr>
            <w:r w:rsidRPr="00EA45CF">
              <w:rPr>
                <w:sz w:val="18"/>
                <w:szCs w:val="18"/>
              </w:rPr>
              <w:t xml:space="preserve">10.95 </w:t>
            </w:r>
            <w:proofErr w:type="spellStart"/>
            <w:r w:rsidRPr="00EA45CF">
              <w:rPr>
                <w:sz w:val="18"/>
                <w:szCs w:val="18"/>
              </w:rPr>
              <w:t>ug</w:t>
            </w:r>
            <w:proofErr w:type="spellEnd"/>
            <w:r w:rsidRPr="00EA45CF">
              <w:rPr>
                <w:sz w:val="18"/>
                <w:szCs w:val="18"/>
              </w:rPr>
              <w:t>/L (Friday pre-shift)</w:t>
            </w:r>
          </w:p>
        </w:tc>
        <w:tc>
          <w:tcPr>
            <w:tcW w:w="1417" w:type="dxa"/>
            <w:vMerge/>
            <w:shd w:val="clear" w:color="auto" w:fill="auto"/>
          </w:tcPr>
          <w:p w14:paraId="44C71265" w14:textId="77777777" w:rsidR="004D7210" w:rsidRPr="00EA45CF" w:rsidRDefault="004D7210" w:rsidP="005442CF">
            <w:pPr>
              <w:rPr>
                <w:rStyle w:val="CommentReference"/>
                <w:rFonts w:ascii="Calibri" w:hAnsi="Calibri" w:cs="Calibri"/>
              </w:rPr>
            </w:pPr>
          </w:p>
        </w:tc>
      </w:tr>
      <w:tr w:rsidR="006D20E6" w:rsidRPr="00EE2AEF" w14:paraId="3E13E76C" w14:textId="77777777" w:rsidTr="005442CF">
        <w:tc>
          <w:tcPr>
            <w:tcW w:w="1229" w:type="dxa"/>
            <w:vMerge/>
            <w:shd w:val="clear" w:color="auto" w:fill="auto"/>
          </w:tcPr>
          <w:p w14:paraId="02FFF8EF" w14:textId="77777777" w:rsidR="004D7210" w:rsidRPr="00EA45CF" w:rsidRDefault="004D7210" w:rsidP="005442CF">
            <w:pPr>
              <w:rPr>
                <w:sz w:val="18"/>
                <w:szCs w:val="18"/>
              </w:rPr>
            </w:pPr>
          </w:p>
        </w:tc>
        <w:tc>
          <w:tcPr>
            <w:tcW w:w="1400" w:type="dxa"/>
            <w:vMerge/>
            <w:shd w:val="clear" w:color="auto" w:fill="auto"/>
          </w:tcPr>
          <w:p w14:paraId="30FDA4C5" w14:textId="77777777" w:rsidR="004D7210" w:rsidRPr="00EA45CF" w:rsidRDefault="004D7210" w:rsidP="005442CF">
            <w:pPr>
              <w:rPr>
                <w:sz w:val="18"/>
                <w:szCs w:val="18"/>
              </w:rPr>
            </w:pPr>
          </w:p>
        </w:tc>
        <w:tc>
          <w:tcPr>
            <w:tcW w:w="1335" w:type="dxa"/>
            <w:vMerge/>
            <w:shd w:val="clear" w:color="auto" w:fill="auto"/>
          </w:tcPr>
          <w:p w14:paraId="0DA6D909" w14:textId="77777777" w:rsidR="004D7210" w:rsidRPr="00EA45CF" w:rsidRDefault="004D7210" w:rsidP="005442CF">
            <w:pPr>
              <w:rPr>
                <w:sz w:val="18"/>
                <w:szCs w:val="18"/>
              </w:rPr>
            </w:pPr>
          </w:p>
        </w:tc>
        <w:tc>
          <w:tcPr>
            <w:tcW w:w="1560" w:type="dxa"/>
            <w:vMerge/>
            <w:shd w:val="clear" w:color="auto" w:fill="auto"/>
          </w:tcPr>
          <w:p w14:paraId="54E0F2FA" w14:textId="77777777" w:rsidR="004D7210" w:rsidRPr="00EA45CF" w:rsidRDefault="004D7210" w:rsidP="005442CF">
            <w:pPr>
              <w:rPr>
                <w:sz w:val="18"/>
                <w:szCs w:val="18"/>
              </w:rPr>
            </w:pPr>
          </w:p>
        </w:tc>
        <w:tc>
          <w:tcPr>
            <w:tcW w:w="1544" w:type="dxa"/>
            <w:vMerge/>
            <w:shd w:val="clear" w:color="auto" w:fill="auto"/>
          </w:tcPr>
          <w:p w14:paraId="54D65050" w14:textId="77777777" w:rsidR="004D7210" w:rsidRPr="00EA45CF" w:rsidRDefault="004D7210" w:rsidP="005442CF">
            <w:pPr>
              <w:rPr>
                <w:sz w:val="18"/>
                <w:szCs w:val="18"/>
              </w:rPr>
            </w:pPr>
          </w:p>
        </w:tc>
        <w:tc>
          <w:tcPr>
            <w:tcW w:w="1701" w:type="dxa"/>
            <w:vMerge/>
            <w:shd w:val="clear" w:color="auto" w:fill="auto"/>
          </w:tcPr>
          <w:p w14:paraId="3CD3F1B1" w14:textId="77777777" w:rsidR="004D7210" w:rsidRPr="00EA45CF" w:rsidRDefault="004D7210" w:rsidP="005442CF">
            <w:pPr>
              <w:rPr>
                <w:sz w:val="18"/>
                <w:szCs w:val="18"/>
              </w:rPr>
            </w:pPr>
          </w:p>
        </w:tc>
        <w:tc>
          <w:tcPr>
            <w:tcW w:w="1276" w:type="dxa"/>
            <w:shd w:val="clear" w:color="auto" w:fill="auto"/>
          </w:tcPr>
          <w:p w14:paraId="29EBEAF8" w14:textId="77777777" w:rsidR="004D7210" w:rsidRPr="00EA45CF" w:rsidRDefault="004D7210" w:rsidP="005442CF">
            <w:pPr>
              <w:rPr>
                <w:sz w:val="18"/>
                <w:szCs w:val="18"/>
              </w:rPr>
            </w:pPr>
            <w:r w:rsidRPr="00EA45CF">
              <w:rPr>
                <w:sz w:val="18"/>
                <w:szCs w:val="18"/>
              </w:rPr>
              <w:t xml:space="preserve">21.94 </w:t>
            </w:r>
          </w:p>
        </w:tc>
        <w:tc>
          <w:tcPr>
            <w:tcW w:w="2410" w:type="dxa"/>
            <w:shd w:val="clear" w:color="auto" w:fill="auto"/>
          </w:tcPr>
          <w:p w14:paraId="5AA1F380" w14:textId="77777777" w:rsidR="004D7210" w:rsidRPr="00EA45CF" w:rsidRDefault="004D7210" w:rsidP="005442CF">
            <w:pPr>
              <w:rPr>
                <w:sz w:val="18"/>
                <w:szCs w:val="18"/>
              </w:rPr>
            </w:pPr>
            <w:r w:rsidRPr="00EA45CF">
              <w:rPr>
                <w:sz w:val="18"/>
                <w:szCs w:val="18"/>
              </w:rPr>
              <w:t xml:space="preserve">6.17 </w:t>
            </w:r>
            <w:proofErr w:type="spellStart"/>
            <w:r w:rsidRPr="00EA45CF">
              <w:rPr>
                <w:sz w:val="18"/>
                <w:szCs w:val="18"/>
              </w:rPr>
              <w:t>ug</w:t>
            </w:r>
            <w:proofErr w:type="spellEnd"/>
            <w:r w:rsidRPr="00EA45CF">
              <w:rPr>
                <w:sz w:val="18"/>
                <w:szCs w:val="18"/>
              </w:rPr>
              <w:t>/L (</w:t>
            </w:r>
            <w:proofErr w:type="spellStart"/>
            <w:r w:rsidRPr="00EA45CF">
              <w:rPr>
                <w:sz w:val="18"/>
                <w:szCs w:val="18"/>
              </w:rPr>
              <w:t>Monday</w:t>
            </w:r>
            <w:proofErr w:type="spellEnd"/>
            <w:r w:rsidRPr="00EA45CF">
              <w:rPr>
                <w:sz w:val="18"/>
                <w:szCs w:val="18"/>
              </w:rPr>
              <w:t xml:space="preserve"> pre-shift)</w:t>
            </w:r>
          </w:p>
        </w:tc>
        <w:tc>
          <w:tcPr>
            <w:tcW w:w="1417" w:type="dxa"/>
            <w:vMerge/>
            <w:shd w:val="clear" w:color="auto" w:fill="auto"/>
          </w:tcPr>
          <w:p w14:paraId="12075350" w14:textId="77777777" w:rsidR="004D7210" w:rsidRPr="00EA45CF" w:rsidRDefault="004D7210" w:rsidP="005442CF">
            <w:pPr>
              <w:rPr>
                <w:rStyle w:val="CommentReference"/>
                <w:rFonts w:ascii="Calibri" w:hAnsi="Calibri" w:cs="Calibri"/>
              </w:rPr>
            </w:pPr>
          </w:p>
        </w:tc>
      </w:tr>
      <w:tr w:rsidR="006D20E6" w:rsidRPr="00E60F31" w14:paraId="48BC3508" w14:textId="77777777" w:rsidTr="005442CF">
        <w:tc>
          <w:tcPr>
            <w:tcW w:w="1229" w:type="dxa"/>
            <w:shd w:val="clear" w:color="auto" w:fill="auto"/>
          </w:tcPr>
          <w:p w14:paraId="1CA1FF64" w14:textId="77777777" w:rsidR="004D7210" w:rsidRPr="00EA45CF" w:rsidRDefault="004D7210" w:rsidP="005442CF">
            <w:pPr>
              <w:rPr>
                <w:sz w:val="18"/>
                <w:szCs w:val="18"/>
              </w:rPr>
            </w:pPr>
            <w:r w:rsidRPr="00EA45CF">
              <w:rPr>
                <w:sz w:val="18"/>
                <w:szCs w:val="18"/>
              </w:rPr>
              <w:t>UK</w:t>
            </w:r>
          </w:p>
          <w:p w14:paraId="0DCF5B0D" w14:textId="77777777" w:rsidR="004D7210" w:rsidRPr="00EA45CF" w:rsidRDefault="004D7210" w:rsidP="005442CF">
            <w:pPr>
              <w:rPr>
                <w:sz w:val="18"/>
                <w:szCs w:val="18"/>
              </w:rPr>
            </w:pPr>
            <w:proofErr w:type="spellStart"/>
            <w:r w:rsidRPr="00EA45CF">
              <w:rPr>
                <w:sz w:val="18"/>
                <w:szCs w:val="18"/>
              </w:rPr>
              <w:t>Polyurethane</w:t>
            </w:r>
            <w:proofErr w:type="spellEnd"/>
            <w:r w:rsidRPr="00EA45CF">
              <w:rPr>
                <w:sz w:val="18"/>
                <w:szCs w:val="18"/>
              </w:rPr>
              <w:t xml:space="preserve"> </w:t>
            </w:r>
            <w:proofErr w:type="spellStart"/>
            <w:r w:rsidRPr="00EA45CF">
              <w:rPr>
                <w:sz w:val="18"/>
                <w:szCs w:val="18"/>
              </w:rPr>
              <w:t>foam</w:t>
            </w:r>
            <w:proofErr w:type="spellEnd"/>
            <w:r w:rsidRPr="00EA45CF">
              <w:rPr>
                <w:sz w:val="18"/>
                <w:szCs w:val="18"/>
              </w:rPr>
              <w:t xml:space="preserve"> block </w:t>
            </w:r>
            <w:proofErr w:type="spellStart"/>
            <w:r w:rsidRPr="00EA45CF">
              <w:rPr>
                <w:sz w:val="18"/>
                <w:szCs w:val="18"/>
              </w:rPr>
              <w:t>production</w:t>
            </w:r>
            <w:proofErr w:type="spellEnd"/>
          </w:p>
          <w:p w14:paraId="66E4AC48" w14:textId="77777777" w:rsidR="004D7210" w:rsidRPr="00EA45CF" w:rsidRDefault="004D7210" w:rsidP="005442CF">
            <w:pPr>
              <w:rPr>
                <w:sz w:val="18"/>
                <w:szCs w:val="18"/>
              </w:rPr>
            </w:pPr>
            <w:r w:rsidRPr="00EA45CF">
              <w:rPr>
                <w:sz w:val="18"/>
                <w:szCs w:val="18"/>
              </w:rPr>
              <w:t>N = 13</w:t>
            </w:r>
          </w:p>
        </w:tc>
        <w:tc>
          <w:tcPr>
            <w:tcW w:w="1400" w:type="dxa"/>
            <w:shd w:val="clear" w:color="auto" w:fill="auto"/>
          </w:tcPr>
          <w:p w14:paraId="6DB22696" w14:textId="77777777" w:rsidR="004D7210" w:rsidRPr="00EA45CF" w:rsidRDefault="004D7210" w:rsidP="005442CF">
            <w:pPr>
              <w:rPr>
                <w:sz w:val="18"/>
                <w:szCs w:val="18"/>
              </w:rPr>
            </w:pPr>
            <w:r w:rsidRPr="00EA45CF">
              <w:rPr>
                <w:sz w:val="18"/>
                <w:szCs w:val="18"/>
              </w:rPr>
              <w:t xml:space="preserve">26 personal samples </w:t>
            </w:r>
            <w:proofErr w:type="spellStart"/>
            <w:r w:rsidRPr="00EA45CF">
              <w:rPr>
                <w:sz w:val="18"/>
                <w:szCs w:val="18"/>
              </w:rPr>
              <w:t>and</w:t>
            </w:r>
            <w:proofErr w:type="spellEnd"/>
            <w:r w:rsidRPr="00EA45CF">
              <w:rPr>
                <w:sz w:val="18"/>
                <w:szCs w:val="18"/>
              </w:rPr>
              <w:t xml:space="preserve"> 4 </w:t>
            </w:r>
            <w:proofErr w:type="spellStart"/>
            <w:r w:rsidRPr="00EA45CF">
              <w:rPr>
                <w:sz w:val="18"/>
                <w:szCs w:val="18"/>
              </w:rPr>
              <w:t>static</w:t>
            </w:r>
            <w:proofErr w:type="spellEnd"/>
            <w:r w:rsidRPr="00EA45CF">
              <w:rPr>
                <w:sz w:val="18"/>
                <w:szCs w:val="18"/>
              </w:rPr>
              <w:t xml:space="preserve">. </w:t>
            </w:r>
          </w:p>
          <w:p w14:paraId="667F3FED" w14:textId="77777777" w:rsidR="004D7210" w:rsidRPr="00E60F31" w:rsidRDefault="004D7210" w:rsidP="005442CF">
            <w:pPr>
              <w:rPr>
                <w:sz w:val="18"/>
                <w:szCs w:val="18"/>
                <w:lang w:val="en-US"/>
              </w:rPr>
            </w:pPr>
            <w:proofErr w:type="spellStart"/>
            <w:r w:rsidRPr="00EA45CF">
              <w:rPr>
                <w:b/>
                <w:bCs/>
                <w:sz w:val="18"/>
                <w:szCs w:val="18"/>
              </w:rPr>
              <w:t>Task</w:t>
            </w:r>
            <w:proofErr w:type="spellEnd"/>
            <w:r w:rsidRPr="00EA45CF">
              <w:rPr>
                <w:b/>
                <w:bCs/>
                <w:sz w:val="18"/>
                <w:szCs w:val="18"/>
              </w:rPr>
              <w:t xml:space="preserve"> </w:t>
            </w:r>
            <w:proofErr w:type="spellStart"/>
            <w:r w:rsidRPr="00EA45CF">
              <w:rPr>
                <w:b/>
                <w:bCs/>
                <w:sz w:val="18"/>
                <w:szCs w:val="18"/>
              </w:rPr>
              <w:t>based</w:t>
            </w:r>
            <w:proofErr w:type="spellEnd"/>
            <w:r w:rsidRPr="00EA45CF">
              <w:rPr>
                <w:sz w:val="18"/>
                <w:szCs w:val="18"/>
              </w:rPr>
              <w:t xml:space="preserve"> (</w:t>
            </w:r>
            <w:proofErr w:type="spellStart"/>
            <w:r w:rsidRPr="00EA45CF">
              <w:rPr>
                <w:sz w:val="18"/>
                <w:szCs w:val="18"/>
              </w:rPr>
              <w:t>mean</w:t>
            </w:r>
            <w:proofErr w:type="spellEnd"/>
            <w:r w:rsidRPr="00EA45CF">
              <w:rPr>
                <w:sz w:val="18"/>
                <w:szCs w:val="18"/>
              </w:rPr>
              <w:t xml:space="preserve"> sampling </w:t>
            </w:r>
            <w:proofErr w:type="spellStart"/>
            <w:r w:rsidRPr="00EA45CF">
              <w:rPr>
                <w:sz w:val="18"/>
                <w:szCs w:val="18"/>
              </w:rPr>
              <w:t>period</w:t>
            </w:r>
            <w:proofErr w:type="spellEnd"/>
            <w:r w:rsidRPr="00EA45CF">
              <w:rPr>
                <w:sz w:val="18"/>
                <w:szCs w:val="18"/>
              </w:rPr>
              <w:t xml:space="preserve"> was 409 m</w:t>
            </w:r>
            <w:r w:rsidRPr="00E60F31">
              <w:rPr>
                <w:sz w:val="18"/>
                <w:szCs w:val="18"/>
                <w:lang w:val="en-US"/>
              </w:rPr>
              <w:t>in)</w:t>
            </w:r>
          </w:p>
        </w:tc>
        <w:tc>
          <w:tcPr>
            <w:tcW w:w="1335" w:type="dxa"/>
            <w:shd w:val="clear" w:color="auto" w:fill="auto"/>
          </w:tcPr>
          <w:p w14:paraId="3AC4559E" w14:textId="77777777" w:rsidR="004D7210" w:rsidRPr="00E60F31" w:rsidRDefault="004D7210" w:rsidP="005442CF">
            <w:pPr>
              <w:rPr>
                <w:sz w:val="18"/>
                <w:szCs w:val="18"/>
                <w:lang w:val="en-US"/>
              </w:rPr>
            </w:pPr>
            <w:r w:rsidRPr="00E60F31">
              <w:rPr>
                <w:sz w:val="18"/>
                <w:szCs w:val="18"/>
                <w:lang w:val="en-US"/>
              </w:rPr>
              <w:t>Mean duration of potential exposure: 15 years</w:t>
            </w:r>
          </w:p>
        </w:tc>
        <w:tc>
          <w:tcPr>
            <w:tcW w:w="1560" w:type="dxa"/>
            <w:shd w:val="clear" w:color="auto" w:fill="auto"/>
          </w:tcPr>
          <w:p w14:paraId="1915652B" w14:textId="77777777" w:rsidR="004D7210" w:rsidRPr="00E60F31" w:rsidRDefault="004D7210" w:rsidP="005442CF">
            <w:pPr>
              <w:rPr>
                <w:sz w:val="18"/>
                <w:szCs w:val="18"/>
                <w:lang w:val="en-US"/>
              </w:rPr>
            </w:pPr>
            <w:r w:rsidRPr="00E60F31">
              <w:rPr>
                <w:sz w:val="18"/>
                <w:szCs w:val="18"/>
                <w:lang w:val="en-US"/>
              </w:rPr>
              <w:t xml:space="preserve">RPE was used for short periods when exposure </w:t>
            </w:r>
            <w:proofErr w:type="gramStart"/>
            <w:r w:rsidRPr="00E60F31">
              <w:rPr>
                <w:sz w:val="18"/>
                <w:szCs w:val="18"/>
                <w:lang w:val="en-US"/>
              </w:rPr>
              <w:t>was considered to be</w:t>
            </w:r>
            <w:proofErr w:type="gramEnd"/>
            <w:r w:rsidRPr="00E60F31">
              <w:rPr>
                <w:sz w:val="18"/>
                <w:szCs w:val="18"/>
                <w:lang w:val="en-US"/>
              </w:rPr>
              <w:t xml:space="preserve"> potentially high</w:t>
            </w:r>
          </w:p>
        </w:tc>
        <w:tc>
          <w:tcPr>
            <w:tcW w:w="1544" w:type="dxa"/>
            <w:shd w:val="clear" w:color="auto" w:fill="auto"/>
          </w:tcPr>
          <w:p w14:paraId="64D6E322" w14:textId="77777777" w:rsidR="004D7210" w:rsidRPr="00E60F31" w:rsidRDefault="004D7210" w:rsidP="005442CF">
            <w:pPr>
              <w:rPr>
                <w:sz w:val="18"/>
                <w:szCs w:val="18"/>
                <w:lang w:val="en-US"/>
              </w:rPr>
            </w:pPr>
            <w:r w:rsidRPr="00E60F31">
              <w:rPr>
                <w:sz w:val="18"/>
                <w:szCs w:val="18"/>
                <w:lang w:val="en-US"/>
              </w:rPr>
              <w:t>Sampling started on the second day of the working week</w:t>
            </w:r>
          </w:p>
          <w:p w14:paraId="22D47841" w14:textId="77777777" w:rsidR="004D7210" w:rsidRPr="00E60F31" w:rsidRDefault="004D7210" w:rsidP="005442CF">
            <w:pPr>
              <w:rPr>
                <w:sz w:val="18"/>
                <w:szCs w:val="18"/>
                <w:lang w:val="en-US"/>
              </w:rPr>
            </w:pPr>
            <w:proofErr w:type="spellStart"/>
            <w:r w:rsidRPr="00E60F31">
              <w:rPr>
                <w:sz w:val="18"/>
                <w:szCs w:val="18"/>
                <w:lang w:val="en-US"/>
              </w:rPr>
              <w:t>uTDA</w:t>
            </w:r>
            <w:proofErr w:type="spellEnd"/>
            <w:r w:rsidRPr="00E60F31">
              <w:rPr>
                <w:sz w:val="18"/>
                <w:szCs w:val="18"/>
                <w:lang w:val="en-US"/>
              </w:rPr>
              <w:t xml:space="preserve"> detected after shift in 10/13 samples</w:t>
            </w:r>
          </w:p>
        </w:tc>
        <w:tc>
          <w:tcPr>
            <w:tcW w:w="1701" w:type="dxa"/>
            <w:shd w:val="clear" w:color="auto" w:fill="auto"/>
          </w:tcPr>
          <w:p w14:paraId="4C16147A" w14:textId="77777777" w:rsidR="004D7210" w:rsidRPr="00E60F31" w:rsidRDefault="004D7210" w:rsidP="005442CF">
            <w:pPr>
              <w:rPr>
                <w:sz w:val="18"/>
                <w:szCs w:val="18"/>
                <w:lang w:val="en-US"/>
              </w:rPr>
            </w:pPr>
            <w:r w:rsidRPr="00E60F31">
              <w:rPr>
                <w:sz w:val="18"/>
                <w:szCs w:val="18"/>
                <w:lang w:val="en-US"/>
              </w:rPr>
              <w:t>No information</w:t>
            </w:r>
          </w:p>
        </w:tc>
        <w:tc>
          <w:tcPr>
            <w:tcW w:w="1276" w:type="dxa"/>
            <w:shd w:val="clear" w:color="auto" w:fill="auto"/>
          </w:tcPr>
          <w:p w14:paraId="061C7560" w14:textId="77777777" w:rsidR="004D7210" w:rsidRPr="00E60F31" w:rsidRDefault="004D7210" w:rsidP="005442CF">
            <w:pPr>
              <w:rPr>
                <w:sz w:val="18"/>
                <w:szCs w:val="18"/>
                <w:lang w:val="en-US"/>
              </w:rPr>
            </w:pPr>
            <w:r w:rsidRPr="00E60F31">
              <w:rPr>
                <w:sz w:val="18"/>
                <w:szCs w:val="18"/>
                <w:lang w:val="en-US"/>
              </w:rPr>
              <w:t>5.6 (converted from NCO group equivalent – 2.7 ug/m3 NCO)</w:t>
            </w:r>
          </w:p>
          <w:p w14:paraId="0CCF8A51" w14:textId="77777777" w:rsidR="004D7210" w:rsidRPr="00E60F31" w:rsidRDefault="004D7210" w:rsidP="005442CF">
            <w:pPr>
              <w:rPr>
                <w:sz w:val="18"/>
                <w:szCs w:val="18"/>
                <w:lang w:val="en-US"/>
              </w:rPr>
            </w:pPr>
          </w:p>
          <w:p w14:paraId="10F9FFE0" w14:textId="77777777" w:rsidR="004D7210" w:rsidRPr="00E60F31" w:rsidRDefault="004D7210" w:rsidP="005442CF">
            <w:pPr>
              <w:rPr>
                <w:sz w:val="18"/>
                <w:szCs w:val="18"/>
                <w:lang w:val="en-US"/>
              </w:rPr>
            </w:pPr>
          </w:p>
        </w:tc>
        <w:tc>
          <w:tcPr>
            <w:tcW w:w="2410" w:type="dxa"/>
            <w:shd w:val="clear" w:color="auto" w:fill="auto"/>
          </w:tcPr>
          <w:p w14:paraId="61D9DB90" w14:textId="77777777" w:rsidR="004D7210" w:rsidRDefault="004D7210" w:rsidP="005442CF">
            <w:pPr>
              <w:rPr>
                <w:sz w:val="18"/>
                <w:szCs w:val="18"/>
                <w:lang w:val="en-US"/>
              </w:rPr>
            </w:pPr>
            <w:r w:rsidRPr="00E60F31">
              <w:rPr>
                <w:sz w:val="18"/>
                <w:szCs w:val="18"/>
                <w:lang w:val="en-US"/>
              </w:rPr>
              <w:t xml:space="preserve">1.71 </w:t>
            </w:r>
            <w:r>
              <w:rPr>
                <w:sz w:val="18"/>
                <w:szCs w:val="18"/>
                <w:lang w:val="en-US"/>
              </w:rPr>
              <w:t xml:space="preserve">(recalculated from 2.21 </w:t>
            </w:r>
            <w:proofErr w:type="spellStart"/>
            <w:r>
              <w:rPr>
                <w:sz w:val="18"/>
                <w:szCs w:val="18"/>
                <w:lang w:val="en-US"/>
              </w:rPr>
              <w:t>umol</w:t>
            </w:r>
            <w:proofErr w:type="spellEnd"/>
            <w:r>
              <w:rPr>
                <w:sz w:val="18"/>
                <w:szCs w:val="18"/>
                <w:lang w:val="en-US"/>
              </w:rPr>
              <w:t xml:space="preserve">/mol creatinine based </w:t>
            </w:r>
            <w:proofErr w:type="gramStart"/>
            <w:r>
              <w:rPr>
                <w:sz w:val="18"/>
                <w:szCs w:val="18"/>
                <w:lang w:val="en-US"/>
              </w:rPr>
              <w:t xml:space="preserve">on  </w:t>
            </w:r>
            <w:r w:rsidRPr="00E60F31">
              <w:rPr>
                <w:sz w:val="18"/>
                <w:szCs w:val="18"/>
                <w:lang w:val="en-US"/>
              </w:rPr>
              <w:t>three</w:t>
            </w:r>
            <w:proofErr w:type="gramEnd"/>
            <w:r w:rsidRPr="00E60F31">
              <w:rPr>
                <w:sz w:val="18"/>
                <w:szCs w:val="18"/>
                <w:lang w:val="en-US"/>
              </w:rPr>
              <w:t xml:space="preserve"> below the LOD)</w:t>
            </w:r>
          </w:p>
          <w:p w14:paraId="7DC8FD13" w14:textId="77777777" w:rsidR="004D7210" w:rsidRDefault="004D7210" w:rsidP="005442CF">
            <w:pPr>
              <w:rPr>
                <w:sz w:val="18"/>
                <w:szCs w:val="18"/>
                <w:lang w:val="en-US"/>
              </w:rPr>
            </w:pPr>
          </w:p>
          <w:p w14:paraId="22A1B2F9" w14:textId="77777777" w:rsidR="004D7210" w:rsidRPr="00E60F31" w:rsidRDefault="004D7210" w:rsidP="005442CF">
            <w:pPr>
              <w:rPr>
                <w:sz w:val="18"/>
                <w:szCs w:val="18"/>
                <w:lang w:val="en-US"/>
              </w:rPr>
            </w:pPr>
          </w:p>
        </w:tc>
        <w:tc>
          <w:tcPr>
            <w:tcW w:w="1417" w:type="dxa"/>
            <w:shd w:val="clear" w:color="auto" w:fill="auto"/>
          </w:tcPr>
          <w:p w14:paraId="305BB1AE" w14:textId="69A12F90" w:rsidR="004D7210" w:rsidRPr="00E60F31" w:rsidRDefault="006D20E6" w:rsidP="005442CF">
            <w:pPr>
              <w:rPr>
                <w:rStyle w:val="CommentReference"/>
                <w:rFonts w:ascii="Calibri" w:hAnsi="Calibri" w:cs="Calibri"/>
              </w:rPr>
            </w:pPr>
            <w:r>
              <w:rPr>
                <w:rStyle w:val="CommentReference"/>
                <w:rFonts w:ascii="Calibri" w:hAnsi="Calibri" w:cs="Calibri"/>
              </w:rPr>
              <w:fldChar w:fldCharType="begin" w:fldLock="1"/>
            </w:r>
            <w:r w:rsidRPr="00D01C6A">
              <w:rPr>
                <w:rStyle w:val="CommentReference"/>
                <w:rFonts w:ascii="Calibri" w:hAnsi="Calibri" w:cs="Calibri"/>
                <w:lang w:val="en-GB"/>
              </w:rPr>
              <w:instrText xml:space="preserve">ADDIN CSL_CITATION {"citationItems":[{"id":"ITEM-1","itemData":{"DOI":"10.1093/occmed/kqm085","ISSN":"09627480","abstract":"Background: Toluene diisocyanate (TDI) is used in industry in the production of flexible polyurethane foam, commonly a mixture of the 2,4- and 2,6- isomers. The production process may lead to exposure to diisocyanates which are associated with respiratory disease. A method has been available for the determination of TDI biomarkers in urine for some years. Aims: To explore the usefulness of urinary toluenediamine (uTDA) in assessing whether dermal absorption of diisocyanates makes a significant contribution to a worker's total exposure. Methods: Twenty-six workers took part in the study. Thirteen workers whose duties brought them into physical contact with uncured polyurethane foam during their </w:instrText>
            </w:r>
            <w:r>
              <w:rPr>
                <w:rStyle w:val="CommentReference"/>
                <w:rFonts w:ascii="Calibri" w:hAnsi="Calibri" w:cs="Calibri"/>
              </w:rPr>
              <w:instrText>shift (handlers) were compared to a control group of 13 workers in the same block plant environment had no physical contact with uncured foam on the day that sampling took place (non-handlers). Creatinine-adjusted uTDA levels in the two groups were compared across a work shift. Results: Both groups of workers were exposed to similar levels of airborne TDI. Ten handlers were found to have TDA in post-shift urine samples above detection limits compared with two non-handlers (P &lt; 0.05). No clear relationship was found between the level of airborne TDI exposure and post-shift uTDA. Conclusions: uTDA provides a useful indication of the contribution which skin absorption makes to total TDI exposure. The results suggest that skin protection when handling uncured polyurethane foam may not receive sufficient consideration. © The Author 2007. Published by Oxford University Press on behalf of the Society of Occupational Medicine. All rights reserved.","author":[{"dropping-particle":"","family":"Austin","given":"Shaun","non-dropping-particle":"","parse-names":false,"suffix":""}],"container-title":"Occupational Medicine","id":"ITEM-1","issued":{"date-parts":[["2007"]]},"title":"Biological monitoring of TDI-derived amines in polyurethane foam production","type":"article-journal"},"uris":["http://www.mendeley.com/documents/?uuid=3862d4fd-5f8c-4fd6-ac3a-4aa9082dbdf9"]}],"mendeley":{"formattedCitation":"(Austin 2007)","plainTextFormattedCitation":"(Austin 2007)","previouslyFormattedCitation":"(Austin 2007)"},"properties":{"noteIndex":0},"schema":"https://github.com/citation-style-language/schema/raw/master/csl-citation.json"}</w:instrText>
            </w:r>
            <w:r>
              <w:rPr>
                <w:rStyle w:val="CommentReference"/>
                <w:rFonts w:ascii="Calibri" w:hAnsi="Calibri" w:cs="Calibri"/>
              </w:rPr>
              <w:fldChar w:fldCharType="separate"/>
            </w:r>
            <w:r w:rsidRPr="006D20E6">
              <w:rPr>
                <w:rStyle w:val="CommentReference"/>
                <w:rFonts w:ascii="Calibri" w:hAnsi="Calibri" w:cs="Calibri"/>
                <w:noProof/>
              </w:rPr>
              <w:t>(Austin 2007)</w:t>
            </w:r>
            <w:r>
              <w:rPr>
                <w:rStyle w:val="CommentReference"/>
                <w:rFonts w:ascii="Calibri" w:hAnsi="Calibri" w:cs="Calibri"/>
              </w:rPr>
              <w:fldChar w:fldCharType="end"/>
            </w:r>
          </w:p>
        </w:tc>
      </w:tr>
      <w:tr w:rsidR="006D20E6" w:rsidRPr="00EE2AEF" w14:paraId="237051E8" w14:textId="77777777" w:rsidTr="005442CF">
        <w:tc>
          <w:tcPr>
            <w:tcW w:w="1229" w:type="dxa"/>
            <w:shd w:val="clear" w:color="auto" w:fill="auto"/>
          </w:tcPr>
          <w:p w14:paraId="774B3F0E" w14:textId="77777777" w:rsidR="004D7210" w:rsidRPr="00E60F31" w:rsidRDefault="004D7210" w:rsidP="005442CF">
            <w:pPr>
              <w:rPr>
                <w:sz w:val="18"/>
                <w:szCs w:val="18"/>
                <w:lang w:val="en-US"/>
              </w:rPr>
            </w:pPr>
            <w:r w:rsidRPr="00E60F31">
              <w:rPr>
                <w:sz w:val="18"/>
                <w:szCs w:val="18"/>
                <w:lang w:val="en-US"/>
              </w:rPr>
              <w:t>Sweden</w:t>
            </w:r>
          </w:p>
          <w:p w14:paraId="1CBF0369" w14:textId="77777777" w:rsidR="004D7210" w:rsidRPr="00E60F31" w:rsidRDefault="004D7210" w:rsidP="005442CF">
            <w:pPr>
              <w:rPr>
                <w:sz w:val="18"/>
                <w:szCs w:val="18"/>
                <w:lang w:val="en-US"/>
              </w:rPr>
            </w:pPr>
            <w:r w:rsidRPr="00E60F31">
              <w:rPr>
                <w:sz w:val="18"/>
                <w:szCs w:val="18"/>
                <w:lang w:val="en-US"/>
              </w:rPr>
              <w:t xml:space="preserve">Molding </w:t>
            </w:r>
            <w:proofErr w:type="gramStart"/>
            <w:r w:rsidRPr="00E60F31">
              <w:rPr>
                <w:sz w:val="18"/>
                <w:szCs w:val="18"/>
                <w:lang w:val="en-US"/>
              </w:rPr>
              <w:t>–,flame</w:t>
            </w:r>
            <w:proofErr w:type="gramEnd"/>
            <w:r w:rsidRPr="00E60F31">
              <w:rPr>
                <w:sz w:val="18"/>
                <w:szCs w:val="18"/>
                <w:lang w:val="en-US"/>
              </w:rPr>
              <w:t xml:space="preserve"> lamination-, low-or </w:t>
            </w:r>
            <w:proofErr w:type="spellStart"/>
            <w:r w:rsidRPr="00E60F31">
              <w:rPr>
                <w:sz w:val="18"/>
                <w:szCs w:val="18"/>
                <w:lang w:val="en-US"/>
              </w:rPr>
              <w:t>non heating</w:t>
            </w:r>
            <w:proofErr w:type="spellEnd"/>
            <w:r w:rsidRPr="00E60F31">
              <w:rPr>
                <w:sz w:val="18"/>
                <w:szCs w:val="18"/>
                <w:lang w:val="en-US"/>
              </w:rPr>
              <w:t xml:space="preserve"> process plants, </w:t>
            </w:r>
          </w:p>
          <w:p w14:paraId="66F2886B" w14:textId="77777777" w:rsidR="004D7210" w:rsidRPr="00E60F31" w:rsidRDefault="004D7210" w:rsidP="005442CF">
            <w:pPr>
              <w:rPr>
                <w:sz w:val="18"/>
                <w:szCs w:val="18"/>
                <w:lang w:val="en-US"/>
              </w:rPr>
            </w:pPr>
            <w:r w:rsidRPr="00E60F31">
              <w:rPr>
                <w:sz w:val="18"/>
                <w:szCs w:val="18"/>
                <w:lang w:val="en-US"/>
              </w:rPr>
              <w:t>n=81</w:t>
            </w:r>
          </w:p>
        </w:tc>
        <w:tc>
          <w:tcPr>
            <w:tcW w:w="1400" w:type="dxa"/>
            <w:shd w:val="clear" w:color="auto" w:fill="auto"/>
          </w:tcPr>
          <w:p w14:paraId="01685055" w14:textId="77777777" w:rsidR="004D7210" w:rsidRPr="00E60F31" w:rsidRDefault="004D7210" w:rsidP="005442CF">
            <w:pPr>
              <w:rPr>
                <w:sz w:val="18"/>
                <w:szCs w:val="18"/>
                <w:lang w:val="en-US"/>
              </w:rPr>
            </w:pPr>
            <w:r w:rsidRPr="00E60F31">
              <w:rPr>
                <w:sz w:val="18"/>
                <w:szCs w:val="18"/>
                <w:lang w:val="en-US"/>
              </w:rPr>
              <w:t>Personal sampling</w:t>
            </w:r>
          </w:p>
          <w:p w14:paraId="19DE9018" w14:textId="77777777" w:rsidR="004D7210" w:rsidRPr="00E60F31" w:rsidRDefault="004D7210" w:rsidP="005442CF">
            <w:pPr>
              <w:rPr>
                <w:b/>
                <w:bCs/>
                <w:sz w:val="18"/>
                <w:szCs w:val="18"/>
                <w:lang w:val="en-US"/>
              </w:rPr>
            </w:pPr>
            <w:r w:rsidRPr="00E60F31">
              <w:rPr>
                <w:b/>
                <w:bCs/>
                <w:sz w:val="18"/>
                <w:szCs w:val="18"/>
                <w:lang w:val="en-US"/>
              </w:rPr>
              <w:t xml:space="preserve">8 </w:t>
            </w:r>
            <w:proofErr w:type="spellStart"/>
            <w:r w:rsidRPr="00E60F31">
              <w:rPr>
                <w:b/>
                <w:bCs/>
                <w:sz w:val="18"/>
                <w:szCs w:val="18"/>
                <w:lang w:val="en-US"/>
              </w:rPr>
              <w:t>hr</w:t>
            </w:r>
            <w:proofErr w:type="spellEnd"/>
            <w:r w:rsidRPr="00E60F31">
              <w:rPr>
                <w:b/>
                <w:bCs/>
                <w:sz w:val="18"/>
                <w:szCs w:val="18"/>
                <w:lang w:val="en-US"/>
              </w:rPr>
              <w:t xml:space="preserve"> average </w:t>
            </w:r>
          </w:p>
        </w:tc>
        <w:tc>
          <w:tcPr>
            <w:tcW w:w="1335" w:type="dxa"/>
            <w:shd w:val="clear" w:color="auto" w:fill="auto"/>
          </w:tcPr>
          <w:p w14:paraId="0A4A9994" w14:textId="77777777" w:rsidR="004D7210" w:rsidRPr="00E60F31" w:rsidRDefault="004D7210" w:rsidP="005442CF">
            <w:pPr>
              <w:rPr>
                <w:sz w:val="18"/>
                <w:szCs w:val="18"/>
                <w:lang w:val="en-US"/>
              </w:rPr>
            </w:pPr>
            <w:r w:rsidRPr="00E60F31">
              <w:rPr>
                <w:sz w:val="18"/>
                <w:szCs w:val="18"/>
                <w:lang w:val="en-US"/>
              </w:rPr>
              <w:t>No information, age workers: 36 (median)</w:t>
            </w:r>
          </w:p>
        </w:tc>
        <w:tc>
          <w:tcPr>
            <w:tcW w:w="1560" w:type="dxa"/>
            <w:shd w:val="clear" w:color="auto" w:fill="auto"/>
          </w:tcPr>
          <w:p w14:paraId="6AF26BDD" w14:textId="77777777" w:rsidR="004D7210" w:rsidRPr="00E60F31" w:rsidRDefault="004D7210" w:rsidP="005442CF">
            <w:pPr>
              <w:rPr>
                <w:sz w:val="18"/>
                <w:szCs w:val="18"/>
                <w:lang w:val="en-US"/>
              </w:rPr>
            </w:pPr>
            <w:r w:rsidRPr="00E60F31">
              <w:rPr>
                <w:sz w:val="18"/>
                <w:szCs w:val="18"/>
                <w:lang w:val="en-US"/>
              </w:rPr>
              <w:t>Air sampling paused when RPE was used</w:t>
            </w:r>
          </w:p>
        </w:tc>
        <w:tc>
          <w:tcPr>
            <w:tcW w:w="1544" w:type="dxa"/>
            <w:shd w:val="clear" w:color="auto" w:fill="auto"/>
          </w:tcPr>
          <w:p w14:paraId="7120DC1B" w14:textId="77777777" w:rsidR="004D7210" w:rsidRPr="00E60F31" w:rsidRDefault="004D7210" w:rsidP="005442CF">
            <w:pPr>
              <w:rPr>
                <w:sz w:val="18"/>
                <w:szCs w:val="18"/>
                <w:lang w:val="en-US"/>
              </w:rPr>
            </w:pPr>
            <w:r w:rsidRPr="00E60F31">
              <w:rPr>
                <w:sz w:val="18"/>
                <w:szCs w:val="18"/>
                <w:lang w:val="en-US"/>
              </w:rPr>
              <w:t>Urine collected last 4 hours of shift</w:t>
            </w:r>
          </w:p>
        </w:tc>
        <w:tc>
          <w:tcPr>
            <w:tcW w:w="1701" w:type="dxa"/>
            <w:shd w:val="clear" w:color="auto" w:fill="auto"/>
          </w:tcPr>
          <w:p w14:paraId="14A8DFBD" w14:textId="77777777" w:rsidR="004D7210" w:rsidRPr="00E60F31" w:rsidRDefault="004D7210" w:rsidP="005442CF">
            <w:pPr>
              <w:rPr>
                <w:sz w:val="18"/>
                <w:szCs w:val="18"/>
                <w:lang w:val="en-US"/>
              </w:rPr>
            </w:pPr>
            <w:r w:rsidRPr="00E60F31">
              <w:rPr>
                <w:sz w:val="18"/>
                <w:szCs w:val="18"/>
                <w:lang w:val="en-US"/>
              </w:rPr>
              <w:t xml:space="preserve">Hydrolyzed for 24 </w:t>
            </w:r>
            <w:proofErr w:type="spellStart"/>
            <w:r w:rsidRPr="00E60F31">
              <w:rPr>
                <w:sz w:val="18"/>
                <w:szCs w:val="18"/>
                <w:lang w:val="en-US"/>
              </w:rPr>
              <w:t>hrs</w:t>
            </w:r>
            <w:proofErr w:type="spellEnd"/>
            <w:r w:rsidRPr="00E60F31">
              <w:rPr>
                <w:sz w:val="18"/>
                <w:szCs w:val="18"/>
                <w:lang w:val="en-US"/>
              </w:rPr>
              <w:t xml:space="preserve"> in sodium hydroxide </w:t>
            </w:r>
            <w:proofErr w:type="spellStart"/>
            <w:r w:rsidRPr="00E60F31">
              <w:rPr>
                <w:sz w:val="18"/>
                <w:szCs w:val="18"/>
                <w:lang w:val="en-US"/>
              </w:rPr>
              <w:t>en</w:t>
            </w:r>
            <w:proofErr w:type="spellEnd"/>
            <w:r w:rsidRPr="00E60F31">
              <w:rPr>
                <w:sz w:val="18"/>
                <w:szCs w:val="18"/>
                <w:lang w:val="en-US"/>
              </w:rPr>
              <w:t xml:space="preserve"> then extracted with toluene</w:t>
            </w:r>
          </w:p>
          <w:p w14:paraId="2D9C06BD" w14:textId="77777777" w:rsidR="004D7210" w:rsidRPr="00E60F31" w:rsidRDefault="004D7210" w:rsidP="005442CF">
            <w:pPr>
              <w:rPr>
                <w:sz w:val="18"/>
                <w:szCs w:val="18"/>
                <w:lang w:val="en-US"/>
              </w:rPr>
            </w:pPr>
          </w:p>
          <w:p w14:paraId="55BB5986" w14:textId="77777777" w:rsidR="004D7210" w:rsidRPr="00E60F31" w:rsidRDefault="004D7210" w:rsidP="005442CF">
            <w:pPr>
              <w:rPr>
                <w:sz w:val="18"/>
                <w:szCs w:val="18"/>
                <w:lang w:val="en-US"/>
              </w:rPr>
            </w:pPr>
          </w:p>
        </w:tc>
        <w:tc>
          <w:tcPr>
            <w:tcW w:w="1276" w:type="dxa"/>
            <w:shd w:val="clear" w:color="auto" w:fill="auto"/>
          </w:tcPr>
          <w:p w14:paraId="0F6653DB" w14:textId="77777777" w:rsidR="004D7210" w:rsidRPr="00E60F31" w:rsidRDefault="004D7210" w:rsidP="005442CF">
            <w:pPr>
              <w:rPr>
                <w:sz w:val="18"/>
                <w:szCs w:val="18"/>
                <w:lang w:val="en-US"/>
              </w:rPr>
            </w:pPr>
            <w:r w:rsidRPr="00E60F31">
              <w:rPr>
                <w:sz w:val="18"/>
                <w:szCs w:val="18"/>
                <w:lang w:val="en-US"/>
              </w:rPr>
              <w:t>4 (median)</w:t>
            </w:r>
          </w:p>
          <w:p w14:paraId="63ABBACB" w14:textId="77777777" w:rsidR="004D7210" w:rsidRPr="00E60F31" w:rsidRDefault="004D7210" w:rsidP="005442CF">
            <w:pPr>
              <w:rPr>
                <w:sz w:val="18"/>
                <w:szCs w:val="18"/>
                <w:lang w:val="en-US"/>
              </w:rPr>
            </w:pPr>
            <w:r w:rsidRPr="00E60F31">
              <w:rPr>
                <w:sz w:val="18"/>
                <w:szCs w:val="18"/>
                <w:lang w:val="en-US"/>
              </w:rPr>
              <w:t>(&lt;LOQ – 44 ug/m3)</w:t>
            </w:r>
          </w:p>
        </w:tc>
        <w:tc>
          <w:tcPr>
            <w:tcW w:w="2410" w:type="dxa"/>
            <w:shd w:val="clear" w:color="auto" w:fill="auto"/>
          </w:tcPr>
          <w:p w14:paraId="4E29ED77" w14:textId="77777777" w:rsidR="004D7210" w:rsidRPr="00E60F31" w:rsidRDefault="004D7210" w:rsidP="005442CF">
            <w:pPr>
              <w:rPr>
                <w:sz w:val="18"/>
                <w:szCs w:val="18"/>
                <w:lang w:val="en-US"/>
              </w:rPr>
            </w:pPr>
            <w:r w:rsidRPr="00E60F31">
              <w:rPr>
                <w:sz w:val="18"/>
                <w:szCs w:val="18"/>
                <w:lang w:val="en-US"/>
              </w:rPr>
              <w:t xml:space="preserve">7.1 </w:t>
            </w:r>
            <w:r w:rsidRPr="00E60F31">
              <w:rPr>
                <w:rStyle w:val="FootnoteReference"/>
                <w:sz w:val="18"/>
                <w:szCs w:val="18"/>
              </w:rPr>
              <w:footnoteReference w:id="2"/>
            </w:r>
            <w:r w:rsidRPr="00E60F31">
              <w:rPr>
                <w:sz w:val="18"/>
                <w:szCs w:val="18"/>
                <w:lang w:val="en-US"/>
              </w:rPr>
              <w:t xml:space="preserve"> ug/g creatinine (median) </w:t>
            </w:r>
          </w:p>
          <w:p w14:paraId="3987C167" w14:textId="77777777" w:rsidR="004D7210" w:rsidRPr="00E60F31" w:rsidRDefault="004D7210" w:rsidP="005442CF">
            <w:pPr>
              <w:rPr>
                <w:sz w:val="18"/>
                <w:szCs w:val="18"/>
                <w:lang w:val="en-US"/>
              </w:rPr>
            </w:pPr>
            <w:r w:rsidRPr="00E60F31">
              <w:rPr>
                <w:sz w:val="18"/>
                <w:szCs w:val="18"/>
                <w:lang w:val="en-US"/>
              </w:rPr>
              <w:t>(range: &lt;0.07 – 119.34 ug/gr creatinine)</w:t>
            </w:r>
          </w:p>
        </w:tc>
        <w:tc>
          <w:tcPr>
            <w:tcW w:w="1417" w:type="dxa"/>
            <w:shd w:val="clear" w:color="auto" w:fill="auto"/>
          </w:tcPr>
          <w:p w14:paraId="09191CBE" w14:textId="0D795FC3" w:rsidR="004D7210" w:rsidRPr="00E60F31" w:rsidRDefault="006D20E6" w:rsidP="005442CF">
            <w:pPr>
              <w:rPr>
                <w:rStyle w:val="CommentReference"/>
                <w:rFonts w:ascii="Calibri" w:hAnsi="Calibri" w:cs="Calibri"/>
                <w:lang w:val="en-US"/>
              </w:rPr>
            </w:pPr>
            <w:r>
              <w:rPr>
                <w:rStyle w:val="CommentReference"/>
                <w:rFonts w:ascii="Calibri" w:hAnsi="Calibri" w:cs="Calibri"/>
                <w:lang w:val="en-US"/>
              </w:rPr>
              <w:fldChar w:fldCharType="begin" w:fldLock="1"/>
            </w:r>
            <w:r>
              <w:rPr>
                <w:rStyle w:val="CommentReference"/>
                <w:rFonts w:ascii="Calibri" w:hAnsi="Calibri" w:cs="Calibri"/>
                <w:lang w:val="en-US"/>
              </w:rPr>
              <w:instrText xml:space="preserve">ADDIN CSL_CITATION {"citationItems":[{"id":"ITEM-1","itemData":{"DOI":"10.1093/ANNHYG/MEH034","ISSN":"0003-4878","PMID":"15240337","abstract":"Exposure to isocyanates can be harmful to workers by causing different disorders of the airways. The main objectives of this study were to survey the personal 8 h time-weighted average exposure to isocyanates at 13 Swedish plants that handled either polyurethane, diisocyanates or both, including four types of manufacturing processes: moulding, continuous foaming, flame lamination and low or no heating processes. A total of 223 air samples were collected for 111 workers with personal air monitoring using a dry filter method with 1-(2-methoxyphenyl)piperazine (2MP) as derivatization reagent. A further 272 stationary samples were collected, using the 2MP method, a modified 2MP method and an impinger method using dibutylamine in toluene. With the applied strategy, a large number of workers were monitored and four industrial environments were compared regarding the isocyanate exposure. All workers were found to be exposed to isocyanates in the range 0.004-5.2 p.p.b. On average, the personal exposure levels in the different types of manufacturing processes were, in decreasing order: continuous foaming &gt; flame lamination &gt; moulding </w:instrText>
            </w:r>
            <w:r>
              <w:rPr>
                <w:rStyle w:val="CommentReference"/>
                <w:rFonts w:ascii="Cambria Math" w:hAnsi="Cambria Math" w:cs="Cambria Math"/>
                <w:lang w:val="en-US"/>
              </w:rPr>
              <w:instrText>≫</w:instrText>
            </w:r>
            <w:r>
              <w:rPr>
                <w:rStyle w:val="CommentReference"/>
                <w:rFonts w:ascii="Calibri" w:hAnsi="Calibri" w:cs="Calibri"/>
                <w:lang w:val="en-US"/>
              </w:rPr>
              <w:instrText xml:space="preserve"> low or no heating processes. However, there were variations in exposure levels in plants with similar processes and also between different shifts performing the same tasks. Isocyanic acid, which could not be sampled by the 2MP method used for personal monitoring, was found by short-term stationary monitoring in levels up to 38 p.p.b. in the flame lamination plants.","author":[{"dropping-particle":"","family":"Sennbro","given":"Carl J.","non-dropping-particle":"","parse-names":false,"suffix":""},{"dropping-particle":"","family":"Lindh","given":"Christian H.","non-dropping-particle":"","parse-names":false,"suffix":""},{"dropping-particle":"","family":"Östin","given":"Anders","non-dropping-particle":"","parse-names":false,"suffix":""},{"dropping-particle":"","family":"Welinder","given":"Hans","non-dropping-particle":"","parse-names":false,"suffix":""},{"dropping-particle":"","family":"Jönsson","given":"Bo A.G.","non-dropping-particle":"","parse-names":false,"suffix":""},{"dropping-particle":"","family":"Tinnerberg","given":"Håkan","non-dropping-particle":"","parse-names":false,"suffix":""}],"container-title":"The Annals of Occupational Hygiene","id":"ITEM-1","issue":"5","issued":{"date-parts":[["2004","7","1"]]},"page":"405-414","publisher":"Oxford Academic","title":"A Survey of Airborne Isocyanate Exposure in 13 Swedish Polyurethane Industries","type":"article-journal","volume":"48"},"uris":["http://www.mendeley.com/documents/?uuid=583d804d-acc0-3912-908e-31f7fef6e3df"]}],"mendeley":{"formattedCitation":"(Carl J. Sennbro et al. 2004)","plainTextFormattedCitation":"(Carl J. Sennbro et al. 2004)","previouslyFormattedCitation":"(Carl J. Sennbro et al. 2004)"},"properties":{"noteIndex":0},"schema":"https://github.com/citation-style-language/schema/raw/master/csl-citation.json"}</w:instrText>
            </w:r>
            <w:r>
              <w:rPr>
                <w:rStyle w:val="CommentReference"/>
                <w:rFonts w:ascii="Calibri" w:hAnsi="Calibri" w:cs="Calibri"/>
                <w:lang w:val="en-US"/>
              </w:rPr>
              <w:fldChar w:fldCharType="separate"/>
            </w:r>
            <w:r w:rsidRPr="006D20E6">
              <w:rPr>
                <w:rStyle w:val="CommentReference"/>
                <w:rFonts w:ascii="Calibri" w:hAnsi="Calibri" w:cs="Calibri"/>
                <w:noProof/>
                <w:lang w:val="en-US"/>
              </w:rPr>
              <w:t>(Carl J. Sennbro et al. 2004)</w:t>
            </w:r>
            <w:r>
              <w:rPr>
                <w:rStyle w:val="CommentReference"/>
                <w:rFonts w:ascii="Calibri" w:hAnsi="Calibri" w:cs="Calibri"/>
                <w:lang w:val="en-US"/>
              </w:rPr>
              <w:fldChar w:fldCharType="end"/>
            </w:r>
          </w:p>
        </w:tc>
      </w:tr>
      <w:tr w:rsidR="006D20E6" w:rsidRPr="00E60F31" w14:paraId="344A3AF9" w14:textId="77777777" w:rsidTr="005442CF">
        <w:trPr>
          <w:trHeight w:val="365"/>
        </w:trPr>
        <w:tc>
          <w:tcPr>
            <w:tcW w:w="1229" w:type="dxa"/>
            <w:vMerge w:val="restart"/>
            <w:shd w:val="clear" w:color="auto" w:fill="auto"/>
          </w:tcPr>
          <w:p w14:paraId="2703038E" w14:textId="77777777" w:rsidR="004D7210" w:rsidRPr="00E60F31" w:rsidRDefault="004D7210" w:rsidP="005442CF">
            <w:pPr>
              <w:rPr>
                <w:sz w:val="18"/>
                <w:szCs w:val="18"/>
                <w:lang w:val="en-US"/>
              </w:rPr>
            </w:pPr>
            <w:r w:rsidRPr="00E60F31">
              <w:rPr>
                <w:sz w:val="18"/>
                <w:szCs w:val="18"/>
                <w:lang w:val="en-US"/>
              </w:rPr>
              <w:lastRenderedPageBreak/>
              <w:t>Poland</w:t>
            </w:r>
          </w:p>
          <w:p w14:paraId="39AC22FF" w14:textId="77777777" w:rsidR="004D7210" w:rsidRPr="00E60F31" w:rsidRDefault="004D7210" w:rsidP="005442CF">
            <w:pPr>
              <w:rPr>
                <w:sz w:val="18"/>
                <w:szCs w:val="18"/>
                <w:lang w:val="en-US"/>
              </w:rPr>
            </w:pPr>
            <w:r w:rsidRPr="00E60F31">
              <w:rPr>
                <w:sz w:val="18"/>
                <w:szCs w:val="18"/>
                <w:lang w:val="en-US"/>
              </w:rPr>
              <w:t>Polyurethane foam factory</w:t>
            </w:r>
          </w:p>
          <w:p w14:paraId="1BC76442" w14:textId="77777777" w:rsidR="004D7210" w:rsidRPr="00E60F31" w:rsidRDefault="004D7210" w:rsidP="005442CF">
            <w:pPr>
              <w:rPr>
                <w:sz w:val="18"/>
                <w:szCs w:val="18"/>
                <w:lang w:val="en-US"/>
              </w:rPr>
            </w:pPr>
            <w:r w:rsidRPr="00E60F31">
              <w:rPr>
                <w:sz w:val="18"/>
                <w:szCs w:val="18"/>
                <w:lang w:val="en-US"/>
              </w:rPr>
              <w:t>N = 30</w:t>
            </w:r>
          </w:p>
        </w:tc>
        <w:tc>
          <w:tcPr>
            <w:tcW w:w="1400" w:type="dxa"/>
            <w:vMerge w:val="restart"/>
            <w:shd w:val="clear" w:color="auto" w:fill="auto"/>
          </w:tcPr>
          <w:p w14:paraId="4B5E06BA" w14:textId="77777777" w:rsidR="004D7210" w:rsidRPr="00E60F31" w:rsidRDefault="004D7210" w:rsidP="005442CF">
            <w:pPr>
              <w:rPr>
                <w:sz w:val="18"/>
                <w:szCs w:val="18"/>
                <w:lang w:val="en-US"/>
              </w:rPr>
            </w:pPr>
            <w:r w:rsidRPr="00E60F31">
              <w:rPr>
                <w:sz w:val="18"/>
                <w:szCs w:val="18"/>
                <w:lang w:val="en-US"/>
              </w:rPr>
              <w:t>Personal air sampling</w:t>
            </w:r>
          </w:p>
          <w:p w14:paraId="7134E3BC" w14:textId="77777777" w:rsidR="004D7210" w:rsidRPr="00E60F31" w:rsidRDefault="004D7210" w:rsidP="005442CF">
            <w:pPr>
              <w:rPr>
                <w:sz w:val="18"/>
                <w:szCs w:val="18"/>
                <w:lang w:val="en-US"/>
              </w:rPr>
            </w:pPr>
            <w:r w:rsidRPr="00E60F31">
              <w:rPr>
                <w:b/>
                <w:bCs/>
                <w:sz w:val="18"/>
                <w:szCs w:val="18"/>
                <w:lang w:val="en-US"/>
              </w:rPr>
              <w:t xml:space="preserve">8 </w:t>
            </w:r>
            <w:proofErr w:type="spellStart"/>
            <w:r w:rsidRPr="00E60F31">
              <w:rPr>
                <w:b/>
                <w:bCs/>
                <w:sz w:val="18"/>
                <w:szCs w:val="18"/>
                <w:lang w:val="en-US"/>
              </w:rPr>
              <w:t>hr</w:t>
            </w:r>
            <w:proofErr w:type="spellEnd"/>
            <w:r w:rsidRPr="00E60F31">
              <w:rPr>
                <w:b/>
                <w:bCs/>
                <w:sz w:val="18"/>
                <w:szCs w:val="18"/>
                <w:lang w:val="en-US"/>
              </w:rPr>
              <w:t>-average</w:t>
            </w:r>
            <w:r w:rsidRPr="00E60F31">
              <w:rPr>
                <w:sz w:val="18"/>
                <w:szCs w:val="18"/>
                <w:lang w:val="en-US"/>
              </w:rPr>
              <w:t xml:space="preserve"> (time was not less than 75% of 8 </w:t>
            </w:r>
            <w:proofErr w:type="spellStart"/>
            <w:r w:rsidRPr="00E60F31">
              <w:rPr>
                <w:sz w:val="18"/>
                <w:szCs w:val="18"/>
                <w:lang w:val="en-US"/>
              </w:rPr>
              <w:t>hr</w:t>
            </w:r>
            <w:proofErr w:type="spellEnd"/>
            <w:r w:rsidRPr="00E60F31">
              <w:rPr>
                <w:sz w:val="18"/>
                <w:szCs w:val="18"/>
                <w:lang w:val="en-US"/>
              </w:rPr>
              <w:t>-shift)</w:t>
            </w:r>
          </w:p>
        </w:tc>
        <w:tc>
          <w:tcPr>
            <w:tcW w:w="1335" w:type="dxa"/>
            <w:vMerge w:val="restart"/>
            <w:shd w:val="clear" w:color="auto" w:fill="auto"/>
          </w:tcPr>
          <w:p w14:paraId="15119F28" w14:textId="77777777" w:rsidR="004D7210" w:rsidRPr="00E60F31" w:rsidRDefault="004D7210" w:rsidP="005442CF">
            <w:pPr>
              <w:rPr>
                <w:sz w:val="18"/>
                <w:szCs w:val="18"/>
                <w:lang w:val="en-US"/>
              </w:rPr>
            </w:pPr>
            <w:r w:rsidRPr="00E60F31">
              <w:rPr>
                <w:sz w:val="18"/>
                <w:szCs w:val="18"/>
                <w:lang w:val="en-US"/>
              </w:rPr>
              <w:t>About 10 years</w:t>
            </w:r>
          </w:p>
        </w:tc>
        <w:tc>
          <w:tcPr>
            <w:tcW w:w="1560" w:type="dxa"/>
            <w:vMerge w:val="restart"/>
            <w:shd w:val="clear" w:color="auto" w:fill="auto"/>
          </w:tcPr>
          <w:p w14:paraId="60137EBF" w14:textId="77777777" w:rsidR="004D7210" w:rsidRPr="00E60F31" w:rsidRDefault="004D7210" w:rsidP="005442CF">
            <w:pPr>
              <w:rPr>
                <w:sz w:val="18"/>
                <w:szCs w:val="18"/>
                <w:lang w:val="en-US"/>
              </w:rPr>
            </w:pPr>
            <w:r w:rsidRPr="00E60F31">
              <w:rPr>
                <w:sz w:val="18"/>
                <w:szCs w:val="18"/>
                <w:lang w:val="en-US"/>
              </w:rPr>
              <w:t xml:space="preserve">Was worn occasionally </w:t>
            </w:r>
          </w:p>
        </w:tc>
        <w:tc>
          <w:tcPr>
            <w:tcW w:w="1544" w:type="dxa"/>
            <w:vMerge w:val="restart"/>
            <w:shd w:val="clear" w:color="auto" w:fill="auto"/>
          </w:tcPr>
          <w:p w14:paraId="66F24E96" w14:textId="77777777" w:rsidR="004D7210" w:rsidRPr="00E60F31" w:rsidRDefault="004D7210" w:rsidP="005442CF">
            <w:pPr>
              <w:rPr>
                <w:sz w:val="18"/>
                <w:szCs w:val="18"/>
                <w:lang w:val="en-US"/>
              </w:rPr>
            </w:pPr>
            <w:r w:rsidRPr="00E60F31">
              <w:rPr>
                <w:sz w:val="18"/>
                <w:szCs w:val="18"/>
                <w:lang w:val="en-US"/>
              </w:rPr>
              <w:t xml:space="preserve">No correlation between air and urine samples, but authors claim this could be due to RPE use. </w:t>
            </w:r>
          </w:p>
        </w:tc>
        <w:tc>
          <w:tcPr>
            <w:tcW w:w="1701" w:type="dxa"/>
            <w:vMerge w:val="restart"/>
            <w:shd w:val="clear" w:color="auto" w:fill="auto"/>
          </w:tcPr>
          <w:p w14:paraId="78BDAB3A" w14:textId="77777777" w:rsidR="004D7210" w:rsidRPr="00E60F31" w:rsidRDefault="004D7210" w:rsidP="005442CF">
            <w:pPr>
              <w:rPr>
                <w:sz w:val="18"/>
                <w:szCs w:val="18"/>
                <w:lang w:val="en-US"/>
              </w:rPr>
            </w:pPr>
            <w:r w:rsidRPr="00E60F31">
              <w:rPr>
                <w:sz w:val="18"/>
                <w:szCs w:val="18"/>
                <w:lang w:val="en-US"/>
              </w:rPr>
              <w:t>Citric acid</w:t>
            </w:r>
          </w:p>
          <w:p w14:paraId="1F5ECF00" w14:textId="77777777" w:rsidR="004D7210" w:rsidRPr="00E60F31" w:rsidRDefault="004D7210" w:rsidP="005442CF">
            <w:pPr>
              <w:rPr>
                <w:sz w:val="18"/>
                <w:szCs w:val="18"/>
                <w:lang w:val="en-US"/>
              </w:rPr>
            </w:pPr>
          </w:p>
          <w:p w14:paraId="13380174" w14:textId="77777777" w:rsidR="004D7210" w:rsidRPr="00E60F31" w:rsidRDefault="004D7210" w:rsidP="005442CF">
            <w:pPr>
              <w:rPr>
                <w:sz w:val="18"/>
                <w:szCs w:val="18"/>
                <w:lang w:val="en-US"/>
              </w:rPr>
            </w:pPr>
          </w:p>
        </w:tc>
        <w:tc>
          <w:tcPr>
            <w:tcW w:w="1276" w:type="dxa"/>
            <w:shd w:val="clear" w:color="auto" w:fill="auto"/>
          </w:tcPr>
          <w:p w14:paraId="669C796F" w14:textId="77777777" w:rsidR="004D7210" w:rsidRPr="00E60F31" w:rsidRDefault="004D7210" w:rsidP="005442CF">
            <w:pPr>
              <w:rPr>
                <w:sz w:val="18"/>
                <w:szCs w:val="18"/>
                <w:lang w:val="en-US"/>
              </w:rPr>
            </w:pPr>
            <w:r w:rsidRPr="00E60F31">
              <w:rPr>
                <w:sz w:val="18"/>
                <w:szCs w:val="18"/>
                <w:lang w:val="en-US"/>
              </w:rPr>
              <w:t xml:space="preserve">3.7 (AM) </w:t>
            </w:r>
          </w:p>
        </w:tc>
        <w:tc>
          <w:tcPr>
            <w:tcW w:w="2410" w:type="dxa"/>
            <w:shd w:val="clear" w:color="auto" w:fill="auto"/>
          </w:tcPr>
          <w:p w14:paraId="1BEB7D4E" w14:textId="77777777" w:rsidR="004D7210" w:rsidRPr="00E60F31" w:rsidRDefault="004D7210" w:rsidP="005442CF">
            <w:pPr>
              <w:rPr>
                <w:sz w:val="18"/>
                <w:szCs w:val="18"/>
                <w:lang w:val="en-US"/>
              </w:rPr>
            </w:pPr>
            <w:r w:rsidRPr="00E60F31">
              <w:rPr>
                <w:sz w:val="18"/>
                <w:szCs w:val="18"/>
                <w:lang w:val="en-US"/>
              </w:rPr>
              <w:t xml:space="preserve">0.6 (AM) </w:t>
            </w:r>
            <w:proofErr w:type="spellStart"/>
            <w:r w:rsidRPr="00E60F31">
              <w:rPr>
                <w:sz w:val="18"/>
                <w:szCs w:val="18"/>
                <w:lang w:val="en-US"/>
              </w:rPr>
              <w:t>umol</w:t>
            </w:r>
            <w:proofErr w:type="spellEnd"/>
            <w:r w:rsidRPr="00E60F31">
              <w:rPr>
                <w:sz w:val="18"/>
                <w:szCs w:val="18"/>
                <w:lang w:val="en-US"/>
              </w:rPr>
              <w:t>/mol creatinine (n= 10)</w:t>
            </w:r>
          </w:p>
        </w:tc>
        <w:tc>
          <w:tcPr>
            <w:tcW w:w="1417" w:type="dxa"/>
            <w:vMerge w:val="restart"/>
            <w:shd w:val="clear" w:color="auto" w:fill="auto"/>
          </w:tcPr>
          <w:p w14:paraId="1D216B24" w14:textId="2A92D39D" w:rsidR="004D7210" w:rsidRPr="00E60F31" w:rsidRDefault="006D20E6" w:rsidP="005442CF">
            <w:pPr>
              <w:rPr>
                <w:sz w:val="18"/>
                <w:szCs w:val="18"/>
                <w:lang w:val="en-US"/>
              </w:rPr>
            </w:pPr>
            <w:r>
              <w:rPr>
                <w:sz w:val="18"/>
                <w:szCs w:val="18"/>
                <w:lang w:val="en-US"/>
              </w:rPr>
              <w:fldChar w:fldCharType="begin" w:fldLock="1"/>
            </w:r>
            <w:r>
              <w:rPr>
                <w:sz w:val="18"/>
                <w:szCs w:val="18"/>
                <w:lang w:val="en-US"/>
              </w:rPr>
              <w:instrText>ADDIN CSL_CITATION {"citationItems":[{"id":"ITEM-1","itemData":{"DOI":"10.13075/ijomeh.1896.00284","author":[{"dropping-particle":"","family":"Swierczyńska-Machura","given":"Dominika","non-dropping-particle":"","parse-names":false,"suffix":""},{"dropping-particle":"","family":"Brzeźnicki","given":"Sławomir","non-dropping-particle":"","parse-names":false,"suffix":""},{"dropping-particle":"","family":"Nowakowska-Swirta","given":"Ewa","non-dropping-particle":"","parse-names":false,"suffix":""},{"dropping-particle":"","family":"Walusiak-Skorupa","given":"Jolanta","non-dropping-particle":"","parse-names":false,"suffix":""}],"container-title":"Article in International Journal of Occupational Medicine and Environmental Health","id":"ITEM-1","issued":{"date-parts":[["2015"]]},"title":"Occupational exposure to diisocyanates in polyurethane foam factory workers Good practice in occupational health services: Recommendations for prophylactic examinations in patients with diabetes mellitus View project Prevention of hypertension and diabetes in occupational prophylactic care View project","type":"article-journal"},"uris":["http://www.mendeley.com/documents/?uuid=18e07fc8-b569-358d-89bd-d6297d0c33b7"]}],"mendeley":{"formattedCitation":"(Swierczyńska-Machura et al. 2015)","plainTextFormattedCitation":"(Swierczyńska-Machura et al. 2015)","previouslyFormattedCitation":"(Swierczyńska-Machura et al. 2015)"},"properties":{"noteIndex":0},"schema":"https://github.com/citation-style-language/schema/raw/master/csl-citation.json"}</w:instrText>
            </w:r>
            <w:r>
              <w:rPr>
                <w:sz w:val="18"/>
                <w:szCs w:val="18"/>
                <w:lang w:val="en-US"/>
              </w:rPr>
              <w:fldChar w:fldCharType="separate"/>
            </w:r>
            <w:r w:rsidRPr="006D20E6">
              <w:rPr>
                <w:noProof/>
                <w:sz w:val="18"/>
                <w:szCs w:val="18"/>
                <w:lang w:val="en-US"/>
              </w:rPr>
              <w:t>(Swierczyńska-Machura et al. 2015)</w:t>
            </w:r>
            <w:r>
              <w:rPr>
                <w:sz w:val="18"/>
                <w:szCs w:val="18"/>
                <w:lang w:val="en-US"/>
              </w:rPr>
              <w:fldChar w:fldCharType="end"/>
            </w:r>
          </w:p>
          <w:p w14:paraId="26180245" w14:textId="77777777" w:rsidR="004D7210" w:rsidRPr="00E60F31" w:rsidRDefault="004D7210" w:rsidP="005442CF">
            <w:pPr>
              <w:rPr>
                <w:sz w:val="18"/>
                <w:szCs w:val="18"/>
                <w:lang w:val="en-US"/>
              </w:rPr>
            </w:pPr>
          </w:p>
          <w:p w14:paraId="021BE1C5" w14:textId="77777777" w:rsidR="004D7210" w:rsidRPr="00E60F31" w:rsidRDefault="004D7210" w:rsidP="005442CF">
            <w:pPr>
              <w:rPr>
                <w:sz w:val="18"/>
                <w:szCs w:val="18"/>
                <w:lang w:val="en-US"/>
              </w:rPr>
            </w:pPr>
          </w:p>
          <w:p w14:paraId="02B0E7BC" w14:textId="77777777" w:rsidR="004D7210" w:rsidRPr="00E60F31" w:rsidRDefault="004D7210" w:rsidP="005442CF">
            <w:pPr>
              <w:rPr>
                <w:sz w:val="18"/>
                <w:szCs w:val="18"/>
                <w:lang w:val="en-US"/>
              </w:rPr>
            </w:pPr>
          </w:p>
          <w:p w14:paraId="57B6CE5F" w14:textId="77777777" w:rsidR="004D7210" w:rsidRPr="00E60F31" w:rsidRDefault="004D7210" w:rsidP="005442CF">
            <w:pPr>
              <w:rPr>
                <w:sz w:val="18"/>
                <w:szCs w:val="18"/>
                <w:lang w:val="en-US"/>
              </w:rPr>
            </w:pPr>
          </w:p>
          <w:p w14:paraId="1B17F065" w14:textId="77777777" w:rsidR="004D7210" w:rsidRPr="00E60F31" w:rsidRDefault="004D7210" w:rsidP="005442CF">
            <w:pPr>
              <w:rPr>
                <w:sz w:val="18"/>
                <w:szCs w:val="18"/>
                <w:lang w:val="en-US"/>
              </w:rPr>
            </w:pPr>
          </w:p>
          <w:p w14:paraId="006E1562" w14:textId="77777777" w:rsidR="004D7210" w:rsidRPr="00E60F31" w:rsidRDefault="004D7210" w:rsidP="005442CF">
            <w:pPr>
              <w:rPr>
                <w:sz w:val="18"/>
                <w:szCs w:val="18"/>
                <w:lang w:val="en-US"/>
              </w:rPr>
            </w:pPr>
          </w:p>
          <w:p w14:paraId="1A36F70B" w14:textId="77777777" w:rsidR="004D7210" w:rsidRPr="00E60F31" w:rsidRDefault="004D7210" w:rsidP="005442CF">
            <w:pPr>
              <w:rPr>
                <w:sz w:val="18"/>
                <w:szCs w:val="18"/>
                <w:lang w:val="en-US"/>
              </w:rPr>
            </w:pPr>
          </w:p>
          <w:p w14:paraId="49B01B71" w14:textId="77777777" w:rsidR="004D7210" w:rsidRPr="00E60F31" w:rsidRDefault="004D7210" w:rsidP="005442CF">
            <w:pPr>
              <w:rPr>
                <w:sz w:val="18"/>
                <w:szCs w:val="18"/>
                <w:lang w:val="en-US"/>
              </w:rPr>
            </w:pPr>
          </w:p>
          <w:p w14:paraId="0419971B" w14:textId="77777777" w:rsidR="004D7210" w:rsidRPr="00E60F31" w:rsidRDefault="004D7210" w:rsidP="005442CF">
            <w:pPr>
              <w:rPr>
                <w:sz w:val="18"/>
                <w:szCs w:val="18"/>
                <w:lang w:val="en-US"/>
              </w:rPr>
            </w:pPr>
          </w:p>
          <w:p w14:paraId="64C6A8E5" w14:textId="77777777" w:rsidR="004D7210" w:rsidRPr="00E60F31" w:rsidRDefault="004D7210" w:rsidP="005442CF">
            <w:pPr>
              <w:rPr>
                <w:sz w:val="18"/>
                <w:szCs w:val="18"/>
                <w:lang w:val="en-US"/>
              </w:rPr>
            </w:pPr>
          </w:p>
        </w:tc>
      </w:tr>
      <w:tr w:rsidR="006D20E6" w:rsidRPr="00EE2AEF" w14:paraId="12BC4E82" w14:textId="77777777" w:rsidTr="005442CF">
        <w:trPr>
          <w:trHeight w:val="365"/>
        </w:trPr>
        <w:tc>
          <w:tcPr>
            <w:tcW w:w="1229" w:type="dxa"/>
            <w:vMerge/>
            <w:shd w:val="clear" w:color="auto" w:fill="auto"/>
          </w:tcPr>
          <w:p w14:paraId="1EC53DDF" w14:textId="77777777" w:rsidR="004D7210" w:rsidRPr="00E60F31" w:rsidRDefault="004D7210" w:rsidP="005442CF">
            <w:pPr>
              <w:rPr>
                <w:sz w:val="18"/>
                <w:szCs w:val="18"/>
                <w:lang w:val="en-US"/>
              </w:rPr>
            </w:pPr>
          </w:p>
        </w:tc>
        <w:tc>
          <w:tcPr>
            <w:tcW w:w="1400" w:type="dxa"/>
            <w:vMerge/>
            <w:shd w:val="clear" w:color="auto" w:fill="auto"/>
          </w:tcPr>
          <w:p w14:paraId="0FE35E92" w14:textId="77777777" w:rsidR="004D7210" w:rsidRPr="00E60F31" w:rsidRDefault="004D7210" w:rsidP="005442CF">
            <w:pPr>
              <w:rPr>
                <w:sz w:val="18"/>
                <w:szCs w:val="18"/>
                <w:lang w:val="en-US"/>
              </w:rPr>
            </w:pPr>
          </w:p>
        </w:tc>
        <w:tc>
          <w:tcPr>
            <w:tcW w:w="1335" w:type="dxa"/>
            <w:vMerge/>
            <w:shd w:val="clear" w:color="auto" w:fill="auto"/>
          </w:tcPr>
          <w:p w14:paraId="20AFB040" w14:textId="77777777" w:rsidR="004D7210" w:rsidRPr="00E60F31" w:rsidRDefault="004D7210" w:rsidP="005442CF">
            <w:pPr>
              <w:rPr>
                <w:sz w:val="18"/>
                <w:szCs w:val="18"/>
                <w:lang w:val="en-US"/>
              </w:rPr>
            </w:pPr>
          </w:p>
        </w:tc>
        <w:tc>
          <w:tcPr>
            <w:tcW w:w="1560" w:type="dxa"/>
            <w:vMerge/>
            <w:shd w:val="clear" w:color="auto" w:fill="auto"/>
          </w:tcPr>
          <w:p w14:paraId="0F095D59" w14:textId="77777777" w:rsidR="004D7210" w:rsidRPr="00E60F31" w:rsidRDefault="004D7210" w:rsidP="005442CF">
            <w:pPr>
              <w:rPr>
                <w:sz w:val="18"/>
                <w:szCs w:val="18"/>
                <w:lang w:val="en-US"/>
              </w:rPr>
            </w:pPr>
          </w:p>
        </w:tc>
        <w:tc>
          <w:tcPr>
            <w:tcW w:w="1544" w:type="dxa"/>
            <w:vMerge/>
            <w:shd w:val="clear" w:color="auto" w:fill="auto"/>
          </w:tcPr>
          <w:p w14:paraId="754EC77E" w14:textId="77777777" w:rsidR="004D7210" w:rsidRPr="00E60F31" w:rsidRDefault="004D7210" w:rsidP="005442CF">
            <w:pPr>
              <w:rPr>
                <w:sz w:val="18"/>
                <w:szCs w:val="18"/>
                <w:lang w:val="en-US"/>
              </w:rPr>
            </w:pPr>
          </w:p>
        </w:tc>
        <w:tc>
          <w:tcPr>
            <w:tcW w:w="1701" w:type="dxa"/>
            <w:vMerge/>
            <w:shd w:val="clear" w:color="auto" w:fill="auto"/>
          </w:tcPr>
          <w:p w14:paraId="6A481466" w14:textId="77777777" w:rsidR="004D7210" w:rsidRPr="00E60F31" w:rsidRDefault="004D7210" w:rsidP="005442CF">
            <w:pPr>
              <w:rPr>
                <w:sz w:val="18"/>
                <w:szCs w:val="18"/>
                <w:lang w:val="en-US"/>
              </w:rPr>
            </w:pPr>
          </w:p>
        </w:tc>
        <w:tc>
          <w:tcPr>
            <w:tcW w:w="1276" w:type="dxa"/>
            <w:shd w:val="clear" w:color="auto" w:fill="auto"/>
          </w:tcPr>
          <w:p w14:paraId="6A436EFC" w14:textId="77777777" w:rsidR="004D7210" w:rsidRPr="00E60F31" w:rsidRDefault="004D7210" w:rsidP="005442CF">
            <w:pPr>
              <w:rPr>
                <w:sz w:val="18"/>
                <w:szCs w:val="18"/>
                <w:lang w:val="en-US"/>
              </w:rPr>
            </w:pPr>
            <w:r w:rsidRPr="00E60F31">
              <w:rPr>
                <w:sz w:val="18"/>
                <w:szCs w:val="18"/>
                <w:lang w:val="en-US"/>
              </w:rPr>
              <w:t>3.6 (AM)</w:t>
            </w:r>
          </w:p>
          <w:p w14:paraId="3805A2E6" w14:textId="77777777" w:rsidR="004D7210" w:rsidRPr="00E60F31" w:rsidRDefault="004D7210" w:rsidP="005442CF">
            <w:pPr>
              <w:rPr>
                <w:sz w:val="18"/>
                <w:szCs w:val="18"/>
                <w:lang w:val="en-US"/>
              </w:rPr>
            </w:pPr>
          </w:p>
        </w:tc>
        <w:tc>
          <w:tcPr>
            <w:tcW w:w="2410" w:type="dxa"/>
            <w:shd w:val="clear" w:color="auto" w:fill="auto"/>
          </w:tcPr>
          <w:p w14:paraId="4B4713DE" w14:textId="77777777" w:rsidR="004D7210" w:rsidRPr="00E60F31" w:rsidRDefault="004D7210" w:rsidP="005442CF">
            <w:pPr>
              <w:rPr>
                <w:sz w:val="18"/>
                <w:szCs w:val="18"/>
                <w:lang w:val="en-US"/>
              </w:rPr>
            </w:pPr>
            <w:r w:rsidRPr="00E60F31">
              <w:rPr>
                <w:sz w:val="18"/>
                <w:szCs w:val="18"/>
                <w:lang w:val="en-US"/>
              </w:rPr>
              <w:t xml:space="preserve">1.1 (AM) </w:t>
            </w:r>
            <w:proofErr w:type="spellStart"/>
            <w:r w:rsidRPr="00E60F31">
              <w:rPr>
                <w:sz w:val="18"/>
                <w:szCs w:val="18"/>
                <w:lang w:val="en-US"/>
              </w:rPr>
              <w:t>umol</w:t>
            </w:r>
            <w:proofErr w:type="spellEnd"/>
            <w:r w:rsidRPr="00E60F31">
              <w:rPr>
                <w:sz w:val="18"/>
                <w:szCs w:val="18"/>
                <w:lang w:val="en-US"/>
              </w:rPr>
              <w:t>/mol creatinine (n= 3)</w:t>
            </w:r>
          </w:p>
        </w:tc>
        <w:tc>
          <w:tcPr>
            <w:tcW w:w="1417" w:type="dxa"/>
            <w:vMerge/>
            <w:shd w:val="clear" w:color="auto" w:fill="auto"/>
          </w:tcPr>
          <w:p w14:paraId="00D1FBFA" w14:textId="77777777" w:rsidR="004D7210" w:rsidRPr="00E60F31" w:rsidRDefault="004D7210" w:rsidP="005442CF">
            <w:pPr>
              <w:rPr>
                <w:sz w:val="18"/>
                <w:szCs w:val="18"/>
                <w:lang w:val="en-US"/>
              </w:rPr>
            </w:pPr>
          </w:p>
        </w:tc>
      </w:tr>
      <w:tr w:rsidR="006D20E6" w:rsidRPr="00EE2AEF" w14:paraId="46163B86" w14:textId="77777777" w:rsidTr="005442CF">
        <w:trPr>
          <w:trHeight w:val="365"/>
        </w:trPr>
        <w:tc>
          <w:tcPr>
            <w:tcW w:w="1229" w:type="dxa"/>
            <w:vMerge/>
            <w:shd w:val="clear" w:color="auto" w:fill="auto"/>
          </w:tcPr>
          <w:p w14:paraId="5D1C9CE7" w14:textId="77777777" w:rsidR="004D7210" w:rsidRPr="00E60F31" w:rsidRDefault="004D7210" w:rsidP="005442CF">
            <w:pPr>
              <w:rPr>
                <w:sz w:val="18"/>
                <w:szCs w:val="18"/>
                <w:lang w:val="en-US"/>
              </w:rPr>
            </w:pPr>
          </w:p>
        </w:tc>
        <w:tc>
          <w:tcPr>
            <w:tcW w:w="1400" w:type="dxa"/>
            <w:vMerge/>
            <w:shd w:val="clear" w:color="auto" w:fill="auto"/>
          </w:tcPr>
          <w:p w14:paraId="2DBC40CB" w14:textId="77777777" w:rsidR="004D7210" w:rsidRPr="00E60F31" w:rsidRDefault="004D7210" w:rsidP="005442CF">
            <w:pPr>
              <w:rPr>
                <w:sz w:val="18"/>
                <w:szCs w:val="18"/>
                <w:lang w:val="en-US"/>
              </w:rPr>
            </w:pPr>
          </w:p>
        </w:tc>
        <w:tc>
          <w:tcPr>
            <w:tcW w:w="1335" w:type="dxa"/>
            <w:vMerge/>
            <w:shd w:val="clear" w:color="auto" w:fill="auto"/>
          </w:tcPr>
          <w:p w14:paraId="2A0E7913" w14:textId="77777777" w:rsidR="004D7210" w:rsidRPr="00E60F31" w:rsidRDefault="004D7210" w:rsidP="005442CF">
            <w:pPr>
              <w:rPr>
                <w:sz w:val="18"/>
                <w:szCs w:val="18"/>
                <w:lang w:val="en-US"/>
              </w:rPr>
            </w:pPr>
          </w:p>
        </w:tc>
        <w:tc>
          <w:tcPr>
            <w:tcW w:w="1560" w:type="dxa"/>
            <w:vMerge/>
            <w:shd w:val="clear" w:color="auto" w:fill="auto"/>
          </w:tcPr>
          <w:p w14:paraId="084792C4" w14:textId="77777777" w:rsidR="004D7210" w:rsidRPr="00E60F31" w:rsidRDefault="004D7210" w:rsidP="005442CF">
            <w:pPr>
              <w:rPr>
                <w:sz w:val="18"/>
                <w:szCs w:val="18"/>
                <w:lang w:val="en-US"/>
              </w:rPr>
            </w:pPr>
          </w:p>
        </w:tc>
        <w:tc>
          <w:tcPr>
            <w:tcW w:w="1544" w:type="dxa"/>
            <w:vMerge/>
            <w:shd w:val="clear" w:color="auto" w:fill="auto"/>
          </w:tcPr>
          <w:p w14:paraId="3CD619E8" w14:textId="77777777" w:rsidR="004D7210" w:rsidRPr="00E60F31" w:rsidRDefault="004D7210" w:rsidP="005442CF">
            <w:pPr>
              <w:rPr>
                <w:sz w:val="18"/>
                <w:szCs w:val="18"/>
                <w:lang w:val="en-US"/>
              </w:rPr>
            </w:pPr>
          </w:p>
        </w:tc>
        <w:tc>
          <w:tcPr>
            <w:tcW w:w="1701" w:type="dxa"/>
            <w:vMerge/>
            <w:shd w:val="clear" w:color="auto" w:fill="auto"/>
          </w:tcPr>
          <w:p w14:paraId="7CACB5AA" w14:textId="77777777" w:rsidR="004D7210" w:rsidRPr="00E60F31" w:rsidRDefault="004D7210" w:rsidP="005442CF">
            <w:pPr>
              <w:rPr>
                <w:sz w:val="18"/>
                <w:szCs w:val="18"/>
                <w:lang w:val="en-US"/>
              </w:rPr>
            </w:pPr>
          </w:p>
        </w:tc>
        <w:tc>
          <w:tcPr>
            <w:tcW w:w="1276" w:type="dxa"/>
            <w:shd w:val="clear" w:color="auto" w:fill="auto"/>
          </w:tcPr>
          <w:p w14:paraId="08C2398A" w14:textId="77777777" w:rsidR="004D7210" w:rsidRPr="00E60F31" w:rsidRDefault="004D7210" w:rsidP="005442CF">
            <w:pPr>
              <w:rPr>
                <w:sz w:val="18"/>
                <w:szCs w:val="18"/>
                <w:lang w:val="en-US"/>
              </w:rPr>
            </w:pPr>
            <w:r w:rsidRPr="00E60F31">
              <w:rPr>
                <w:sz w:val="18"/>
                <w:szCs w:val="18"/>
                <w:lang w:val="en-US"/>
              </w:rPr>
              <w:t>25.7 (AM)</w:t>
            </w:r>
          </w:p>
          <w:p w14:paraId="1E262380" w14:textId="77777777" w:rsidR="004D7210" w:rsidRPr="00E60F31" w:rsidRDefault="004D7210" w:rsidP="005442CF">
            <w:pPr>
              <w:rPr>
                <w:sz w:val="18"/>
                <w:szCs w:val="18"/>
                <w:lang w:val="en-US"/>
              </w:rPr>
            </w:pPr>
          </w:p>
        </w:tc>
        <w:tc>
          <w:tcPr>
            <w:tcW w:w="2410" w:type="dxa"/>
            <w:shd w:val="clear" w:color="auto" w:fill="auto"/>
          </w:tcPr>
          <w:p w14:paraId="382C9A1A" w14:textId="77777777" w:rsidR="004D7210" w:rsidRPr="00E60F31" w:rsidRDefault="004D7210" w:rsidP="005442CF">
            <w:pPr>
              <w:rPr>
                <w:sz w:val="18"/>
                <w:szCs w:val="18"/>
                <w:lang w:val="en-US"/>
              </w:rPr>
            </w:pPr>
            <w:r w:rsidRPr="00E60F31">
              <w:rPr>
                <w:sz w:val="18"/>
                <w:szCs w:val="18"/>
                <w:lang w:val="en-US"/>
              </w:rPr>
              <w:t xml:space="preserve">3.0 (AM) </w:t>
            </w:r>
            <w:proofErr w:type="spellStart"/>
            <w:r w:rsidRPr="00E60F31">
              <w:rPr>
                <w:sz w:val="18"/>
                <w:szCs w:val="18"/>
                <w:lang w:val="en-US"/>
              </w:rPr>
              <w:t>umol</w:t>
            </w:r>
            <w:proofErr w:type="spellEnd"/>
            <w:r w:rsidRPr="00E60F31">
              <w:rPr>
                <w:sz w:val="18"/>
                <w:szCs w:val="18"/>
                <w:lang w:val="en-US"/>
              </w:rPr>
              <w:t>/mol creatinine</w:t>
            </w:r>
          </w:p>
          <w:p w14:paraId="22209E8E" w14:textId="77777777" w:rsidR="004D7210" w:rsidRPr="00E60F31" w:rsidRDefault="004D7210" w:rsidP="005442CF">
            <w:pPr>
              <w:rPr>
                <w:sz w:val="18"/>
                <w:szCs w:val="18"/>
                <w:lang w:val="en-US"/>
              </w:rPr>
            </w:pPr>
            <w:r w:rsidRPr="00E60F31">
              <w:rPr>
                <w:sz w:val="18"/>
                <w:szCs w:val="18"/>
                <w:lang w:val="en-US"/>
              </w:rPr>
              <w:t>(n= 2)</w:t>
            </w:r>
          </w:p>
        </w:tc>
        <w:tc>
          <w:tcPr>
            <w:tcW w:w="1417" w:type="dxa"/>
            <w:vMerge/>
            <w:shd w:val="clear" w:color="auto" w:fill="auto"/>
          </w:tcPr>
          <w:p w14:paraId="586F6F86" w14:textId="77777777" w:rsidR="004D7210" w:rsidRPr="00E60F31" w:rsidRDefault="004D7210" w:rsidP="005442CF">
            <w:pPr>
              <w:rPr>
                <w:sz w:val="18"/>
                <w:szCs w:val="18"/>
                <w:lang w:val="en-US"/>
              </w:rPr>
            </w:pPr>
          </w:p>
        </w:tc>
      </w:tr>
      <w:tr w:rsidR="006D20E6" w:rsidRPr="00E60F31" w14:paraId="010D2316" w14:textId="77777777" w:rsidTr="005442CF">
        <w:trPr>
          <w:trHeight w:val="365"/>
        </w:trPr>
        <w:tc>
          <w:tcPr>
            <w:tcW w:w="1229" w:type="dxa"/>
            <w:vMerge/>
            <w:shd w:val="clear" w:color="auto" w:fill="auto"/>
          </w:tcPr>
          <w:p w14:paraId="5DF66755" w14:textId="77777777" w:rsidR="004D7210" w:rsidRPr="00E60F31" w:rsidRDefault="004D7210" w:rsidP="005442CF">
            <w:pPr>
              <w:rPr>
                <w:sz w:val="18"/>
                <w:szCs w:val="18"/>
                <w:lang w:val="en-US"/>
              </w:rPr>
            </w:pPr>
          </w:p>
        </w:tc>
        <w:tc>
          <w:tcPr>
            <w:tcW w:w="1400" w:type="dxa"/>
            <w:vMerge/>
            <w:shd w:val="clear" w:color="auto" w:fill="auto"/>
          </w:tcPr>
          <w:p w14:paraId="50E7180C" w14:textId="77777777" w:rsidR="004D7210" w:rsidRPr="00E60F31" w:rsidRDefault="004D7210" w:rsidP="005442CF">
            <w:pPr>
              <w:rPr>
                <w:sz w:val="18"/>
                <w:szCs w:val="18"/>
                <w:lang w:val="en-US"/>
              </w:rPr>
            </w:pPr>
          </w:p>
        </w:tc>
        <w:tc>
          <w:tcPr>
            <w:tcW w:w="1335" w:type="dxa"/>
            <w:vMerge/>
            <w:shd w:val="clear" w:color="auto" w:fill="auto"/>
          </w:tcPr>
          <w:p w14:paraId="4C925AFA" w14:textId="77777777" w:rsidR="004D7210" w:rsidRPr="00E60F31" w:rsidRDefault="004D7210" w:rsidP="005442CF">
            <w:pPr>
              <w:rPr>
                <w:sz w:val="18"/>
                <w:szCs w:val="18"/>
                <w:lang w:val="en-US"/>
              </w:rPr>
            </w:pPr>
          </w:p>
        </w:tc>
        <w:tc>
          <w:tcPr>
            <w:tcW w:w="1560" w:type="dxa"/>
            <w:vMerge/>
            <w:shd w:val="clear" w:color="auto" w:fill="auto"/>
          </w:tcPr>
          <w:p w14:paraId="25B901C3" w14:textId="77777777" w:rsidR="004D7210" w:rsidRPr="00E60F31" w:rsidRDefault="004D7210" w:rsidP="005442CF">
            <w:pPr>
              <w:rPr>
                <w:sz w:val="18"/>
                <w:szCs w:val="18"/>
                <w:lang w:val="en-US"/>
              </w:rPr>
            </w:pPr>
          </w:p>
        </w:tc>
        <w:tc>
          <w:tcPr>
            <w:tcW w:w="1544" w:type="dxa"/>
            <w:vMerge/>
            <w:shd w:val="clear" w:color="auto" w:fill="auto"/>
          </w:tcPr>
          <w:p w14:paraId="4585609E" w14:textId="77777777" w:rsidR="004D7210" w:rsidRPr="00E60F31" w:rsidRDefault="004D7210" w:rsidP="005442CF">
            <w:pPr>
              <w:rPr>
                <w:sz w:val="18"/>
                <w:szCs w:val="18"/>
                <w:lang w:val="en-US"/>
              </w:rPr>
            </w:pPr>
          </w:p>
        </w:tc>
        <w:tc>
          <w:tcPr>
            <w:tcW w:w="1701" w:type="dxa"/>
            <w:vMerge/>
            <w:shd w:val="clear" w:color="auto" w:fill="auto"/>
          </w:tcPr>
          <w:p w14:paraId="28D871E1" w14:textId="77777777" w:rsidR="004D7210" w:rsidRPr="00E60F31" w:rsidRDefault="004D7210" w:rsidP="005442CF">
            <w:pPr>
              <w:rPr>
                <w:sz w:val="18"/>
                <w:szCs w:val="18"/>
                <w:lang w:val="en-US"/>
              </w:rPr>
            </w:pPr>
          </w:p>
        </w:tc>
        <w:tc>
          <w:tcPr>
            <w:tcW w:w="1276" w:type="dxa"/>
            <w:shd w:val="clear" w:color="auto" w:fill="auto"/>
          </w:tcPr>
          <w:p w14:paraId="12958E79" w14:textId="77777777" w:rsidR="004D7210" w:rsidRPr="00E60F31" w:rsidRDefault="004D7210" w:rsidP="004D7210">
            <w:pPr>
              <w:pStyle w:val="ListParagraph"/>
              <w:numPr>
                <w:ilvl w:val="1"/>
                <w:numId w:val="1"/>
              </w:numPr>
              <w:rPr>
                <w:sz w:val="18"/>
                <w:szCs w:val="18"/>
                <w:lang w:val="en-US"/>
              </w:rPr>
            </w:pPr>
            <w:r w:rsidRPr="00E60F31">
              <w:rPr>
                <w:sz w:val="18"/>
                <w:szCs w:val="18"/>
                <w:lang w:val="en-US"/>
              </w:rPr>
              <w:t>(AM)</w:t>
            </w:r>
          </w:p>
          <w:p w14:paraId="0E87613F" w14:textId="77777777" w:rsidR="004D7210" w:rsidRPr="00E60F31" w:rsidRDefault="004D7210" w:rsidP="005442CF">
            <w:pPr>
              <w:rPr>
                <w:sz w:val="18"/>
                <w:szCs w:val="18"/>
                <w:lang w:val="en-US"/>
              </w:rPr>
            </w:pPr>
          </w:p>
        </w:tc>
        <w:tc>
          <w:tcPr>
            <w:tcW w:w="2410" w:type="dxa"/>
            <w:shd w:val="clear" w:color="auto" w:fill="auto"/>
          </w:tcPr>
          <w:p w14:paraId="7AAA6495" w14:textId="77777777" w:rsidR="004D7210" w:rsidRPr="00E60F31" w:rsidRDefault="004D7210" w:rsidP="005442CF">
            <w:pPr>
              <w:rPr>
                <w:sz w:val="18"/>
                <w:szCs w:val="18"/>
                <w:lang w:val="en-US"/>
              </w:rPr>
            </w:pPr>
            <w:r w:rsidRPr="00E60F31">
              <w:rPr>
                <w:sz w:val="18"/>
                <w:szCs w:val="18"/>
                <w:lang w:val="en-US"/>
              </w:rPr>
              <w:t xml:space="preserve">1.0 (AM) </w:t>
            </w:r>
            <w:proofErr w:type="spellStart"/>
            <w:r w:rsidRPr="00E60F31">
              <w:rPr>
                <w:sz w:val="18"/>
                <w:szCs w:val="18"/>
                <w:lang w:val="en-US"/>
              </w:rPr>
              <w:t>umol</w:t>
            </w:r>
            <w:proofErr w:type="spellEnd"/>
            <w:r w:rsidRPr="00E60F31">
              <w:rPr>
                <w:sz w:val="18"/>
                <w:szCs w:val="18"/>
                <w:lang w:val="en-US"/>
              </w:rPr>
              <w:t>/mol creatinine</w:t>
            </w:r>
          </w:p>
          <w:p w14:paraId="75E198E5" w14:textId="77777777" w:rsidR="004D7210" w:rsidRPr="00E60F31" w:rsidRDefault="004D7210" w:rsidP="005442CF">
            <w:pPr>
              <w:rPr>
                <w:sz w:val="18"/>
                <w:szCs w:val="18"/>
                <w:lang w:val="en-US"/>
              </w:rPr>
            </w:pPr>
            <w:r w:rsidRPr="00E60F31">
              <w:rPr>
                <w:sz w:val="18"/>
                <w:szCs w:val="18"/>
                <w:lang w:val="en-US"/>
              </w:rPr>
              <w:t>(n=5)</w:t>
            </w:r>
          </w:p>
        </w:tc>
        <w:tc>
          <w:tcPr>
            <w:tcW w:w="1417" w:type="dxa"/>
            <w:vMerge/>
            <w:shd w:val="clear" w:color="auto" w:fill="auto"/>
          </w:tcPr>
          <w:p w14:paraId="6AB37144" w14:textId="77777777" w:rsidR="004D7210" w:rsidRPr="00E60F31" w:rsidRDefault="004D7210" w:rsidP="005442CF">
            <w:pPr>
              <w:rPr>
                <w:sz w:val="18"/>
                <w:szCs w:val="18"/>
                <w:lang w:val="en-US"/>
              </w:rPr>
            </w:pPr>
          </w:p>
        </w:tc>
      </w:tr>
      <w:tr w:rsidR="006D20E6" w:rsidRPr="00E60F31" w14:paraId="2B825011" w14:textId="77777777" w:rsidTr="005442CF">
        <w:trPr>
          <w:trHeight w:val="2280"/>
        </w:trPr>
        <w:tc>
          <w:tcPr>
            <w:tcW w:w="1229" w:type="dxa"/>
            <w:shd w:val="clear" w:color="auto" w:fill="auto"/>
          </w:tcPr>
          <w:p w14:paraId="7007AD40" w14:textId="77777777" w:rsidR="004D7210" w:rsidRPr="00E60F31" w:rsidRDefault="004D7210" w:rsidP="005442CF">
            <w:pPr>
              <w:rPr>
                <w:sz w:val="18"/>
                <w:szCs w:val="18"/>
                <w:lang w:val="en-US"/>
              </w:rPr>
            </w:pPr>
            <w:r w:rsidRPr="00E60F31">
              <w:rPr>
                <w:sz w:val="18"/>
                <w:szCs w:val="18"/>
                <w:lang w:val="en-US"/>
              </w:rPr>
              <w:t>Not clear (France or Switzerland)</w:t>
            </w:r>
          </w:p>
          <w:p w14:paraId="718E5B2C" w14:textId="77777777" w:rsidR="004D7210" w:rsidRPr="00E60F31" w:rsidRDefault="004D7210" w:rsidP="005442CF">
            <w:pPr>
              <w:rPr>
                <w:sz w:val="18"/>
                <w:szCs w:val="18"/>
                <w:lang w:val="en-US"/>
              </w:rPr>
            </w:pPr>
            <w:r w:rsidRPr="00E60F31">
              <w:rPr>
                <w:sz w:val="18"/>
                <w:szCs w:val="18"/>
                <w:lang w:val="en-US"/>
              </w:rPr>
              <w:t>Production of flexible foam</w:t>
            </w:r>
          </w:p>
          <w:p w14:paraId="7D4C9427" w14:textId="77777777" w:rsidR="004D7210" w:rsidRPr="00E60F31" w:rsidRDefault="004D7210" w:rsidP="005442CF">
            <w:pPr>
              <w:rPr>
                <w:sz w:val="18"/>
                <w:szCs w:val="18"/>
                <w:lang w:val="en-US"/>
              </w:rPr>
            </w:pPr>
            <w:r w:rsidRPr="00E60F31">
              <w:rPr>
                <w:sz w:val="18"/>
                <w:szCs w:val="18"/>
                <w:lang w:val="en-US"/>
              </w:rPr>
              <w:t>N = 9</w:t>
            </w:r>
          </w:p>
        </w:tc>
        <w:tc>
          <w:tcPr>
            <w:tcW w:w="1400" w:type="dxa"/>
            <w:shd w:val="clear" w:color="auto" w:fill="auto"/>
          </w:tcPr>
          <w:p w14:paraId="7DDC8F08" w14:textId="77777777" w:rsidR="004D7210" w:rsidRPr="00E60F31" w:rsidRDefault="004D7210" w:rsidP="005442CF">
            <w:pPr>
              <w:rPr>
                <w:sz w:val="18"/>
                <w:szCs w:val="18"/>
              </w:rPr>
            </w:pPr>
            <w:r w:rsidRPr="00E60F31">
              <w:rPr>
                <w:sz w:val="18"/>
                <w:szCs w:val="18"/>
              </w:rPr>
              <w:t>Personal sampling</w:t>
            </w:r>
          </w:p>
          <w:p w14:paraId="11681148" w14:textId="77777777" w:rsidR="004D7210" w:rsidRPr="00E60F31" w:rsidRDefault="004D7210" w:rsidP="005442CF">
            <w:pPr>
              <w:rPr>
                <w:b/>
                <w:bCs/>
                <w:sz w:val="18"/>
                <w:szCs w:val="18"/>
              </w:rPr>
            </w:pPr>
            <w:r w:rsidRPr="00E60F31">
              <w:rPr>
                <w:b/>
                <w:bCs/>
                <w:sz w:val="18"/>
                <w:szCs w:val="18"/>
              </w:rPr>
              <w:t xml:space="preserve">8 </w:t>
            </w:r>
            <w:proofErr w:type="spellStart"/>
            <w:r w:rsidRPr="00E60F31">
              <w:rPr>
                <w:b/>
                <w:bCs/>
                <w:sz w:val="18"/>
                <w:szCs w:val="18"/>
              </w:rPr>
              <w:t>hr</w:t>
            </w:r>
            <w:proofErr w:type="spellEnd"/>
            <w:r w:rsidRPr="00E60F31">
              <w:rPr>
                <w:b/>
                <w:bCs/>
                <w:sz w:val="18"/>
                <w:szCs w:val="18"/>
              </w:rPr>
              <w:t xml:space="preserve"> </w:t>
            </w:r>
            <w:proofErr w:type="spellStart"/>
            <w:r w:rsidRPr="00E60F31">
              <w:rPr>
                <w:b/>
                <w:bCs/>
                <w:sz w:val="18"/>
                <w:szCs w:val="18"/>
              </w:rPr>
              <w:t>average</w:t>
            </w:r>
            <w:proofErr w:type="spellEnd"/>
          </w:p>
        </w:tc>
        <w:tc>
          <w:tcPr>
            <w:tcW w:w="1335" w:type="dxa"/>
            <w:shd w:val="clear" w:color="auto" w:fill="auto"/>
          </w:tcPr>
          <w:p w14:paraId="606BB5DF" w14:textId="77777777" w:rsidR="004D7210" w:rsidRPr="00E60F31" w:rsidRDefault="004D7210" w:rsidP="005442CF">
            <w:pPr>
              <w:rPr>
                <w:sz w:val="18"/>
                <w:szCs w:val="18"/>
                <w:lang w:val="en-US"/>
              </w:rPr>
            </w:pPr>
            <w:r w:rsidRPr="00E60F31">
              <w:rPr>
                <w:sz w:val="18"/>
                <w:szCs w:val="18"/>
                <w:lang w:val="en-US"/>
              </w:rPr>
              <w:t>No information (workers age: 35 – 45 yrs)</w:t>
            </w:r>
          </w:p>
        </w:tc>
        <w:tc>
          <w:tcPr>
            <w:tcW w:w="1560" w:type="dxa"/>
            <w:shd w:val="clear" w:color="auto" w:fill="auto"/>
          </w:tcPr>
          <w:p w14:paraId="1F2D0720" w14:textId="77777777" w:rsidR="004D7210" w:rsidRPr="00E60F31" w:rsidRDefault="004D7210" w:rsidP="005442CF">
            <w:pPr>
              <w:rPr>
                <w:sz w:val="18"/>
                <w:szCs w:val="18"/>
                <w:lang w:val="en-US"/>
              </w:rPr>
            </w:pPr>
            <w:r w:rsidRPr="00E60F31">
              <w:rPr>
                <w:sz w:val="18"/>
                <w:szCs w:val="18"/>
                <w:lang w:val="en-US"/>
              </w:rPr>
              <w:t>No ventilation system, workers did not use PPE</w:t>
            </w:r>
          </w:p>
        </w:tc>
        <w:tc>
          <w:tcPr>
            <w:tcW w:w="1544" w:type="dxa"/>
            <w:shd w:val="clear" w:color="auto" w:fill="auto"/>
          </w:tcPr>
          <w:p w14:paraId="1D772BAC" w14:textId="77777777" w:rsidR="004D7210" w:rsidRPr="00E60F31" w:rsidRDefault="004D7210" w:rsidP="005442CF">
            <w:pPr>
              <w:rPr>
                <w:sz w:val="18"/>
                <w:szCs w:val="18"/>
                <w:lang w:val="en-US"/>
              </w:rPr>
            </w:pPr>
            <w:r w:rsidRPr="00E60F31">
              <w:rPr>
                <w:sz w:val="18"/>
                <w:szCs w:val="18"/>
                <w:lang w:val="en-US"/>
              </w:rPr>
              <w:t>Good correlation between airborne TDI and urinary TDA</w:t>
            </w:r>
          </w:p>
          <w:p w14:paraId="7FD31F2D" w14:textId="77777777" w:rsidR="004D7210" w:rsidRPr="00E60F31" w:rsidRDefault="004D7210" w:rsidP="005442CF">
            <w:pPr>
              <w:rPr>
                <w:sz w:val="18"/>
                <w:szCs w:val="18"/>
                <w:lang w:val="en-US"/>
              </w:rPr>
            </w:pPr>
          </w:p>
          <w:p w14:paraId="615FFC4E" w14:textId="77777777" w:rsidR="004D7210" w:rsidRPr="00E60F31" w:rsidRDefault="004D7210" w:rsidP="005442CF">
            <w:pPr>
              <w:rPr>
                <w:sz w:val="18"/>
                <w:szCs w:val="18"/>
                <w:lang w:val="en-US"/>
              </w:rPr>
            </w:pPr>
            <w:r w:rsidRPr="00E60F31">
              <w:rPr>
                <w:sz w:val="18"/>
                <w:szCs w:val="18"/>
                <w:lang w:val="en-US"/>
              </w:rPr>
              <w:t>sampled after shift</w:t>
            </w:r>
          </w:p>
        </w:tc>
        <w:tc>
          <w:tcPr>
            <w:tcW w:w="1701" w:type="dxa"/>
            <w:shd w:val="clear" w:color="auto" w:fill="auto"/>
          </w:tcPr>
          <w:p w14:paraId="3A5F1906" w14:textId="77777777" w:rsidR="004D7210" w:rsidRPr="00E60F31" w:rsidRDefault="004D7210" w:rsidP="005442CF">
            <w:pPr>
              <w:rPr>
                <w:sz w:val="18"/>
                <w:szCs w:val="18"/>
                <w:lang w:val="en-US"/>
              </w:rPr>
            </w:pPr>
            <w:r w:rsidRPr="00E60F31">
              <w:rPr>
                <w:sz w:val="18"/>
                <w:szCs w:val="18"/>
                <w:lang w:val="en-US"/>
              </w:rPr>
              <w:t>Hydrochloric acid hydrolysis</w:t>
            </w:r>
          </w:p>
          <w:p w14:paraId="6D4FC91A" w14:textId="77777777" w:rsidR="004D7210" w:rsidRPr="00E60F31" w:rsidRDefault="004D7210" w:rsidP="005442CF">
            <w:pPr>
              <w:rPr>
                <w:sz w:val="18"/>
                <w:szCs w:val="18"/>
                <w:lang w:val="en-US"/>
              </w:rPr>
            </w:pPr>
          </w:p>
          <w:p w14:paraId="28E2E70E" w14:textId="77777777" w:rsidR="004D7210" w:rsidRPr="00E60F31" w:rsidRDefault="004D7210" w:rsidP="005442CF">
            <w:pPr>
              <w:rPr>
                <w:sz w:val="18"/>
                <w:szCs w:val="18"/>
                <w:lang w:val="en-US"/>
              </w:rPr>
            </w:pPr>
          </w:p>
        </w:tc>
        <w:tc>
          <w:tcPr>
            <w:tcW w:w="1276" w:type="dxa"/>
            <w:shd w:val="clear" w:color="auto" w:fill="auto"/>
          </w:tcPr>
          <w:p w14:paraId="23C6BA43" w14:textId="77777777" w:rsidR="004D7210" w:rsidRPr="00E60F31" w:rsidRDefault="004D7210" w:rsidP="005442CF">
            <w:pPr>
              <w:rPr>
                <w:sz w:val="18"/>
                <w:szCs w:val="18"/>
                <w:lang w:val="en-US"/>
              </w:rPr>
            </w:pPr>
            <w:r w:rsidRPr="00E60F31">
              <w:rPr>
                <w:sz w:val="18"/>
                <w:szCs w:val="18"/>
                <w:lang w:val="en-US"/>
              </w:rPr>
              <w:t>35.39 (calculated average of nine workers)</w:t>
            </w:r>
          </w:p>
        </w:tc>
        <w:tc>
          <w:tcPr>
            <w:tcW w:w="2410" w:type="dxa"/>
            <w:shd w:val="clear" w:color="auto" w:fill="auto"/>
          </w:tcPr>
          <w:p w14:paraId="19E45C55" w14:textId="77777777" w:rsidR="004D7210" w:rsidRPr="00E60F31" w:rsidRDefault="004D7210" w:rsidP="005442CF">
            <w:pPr>
              <w:rPr>
                <w:sz w:val="18"/>
                <w:szCs w:val="18"/>
                <w:lang w:val="en-US"/>
              </w:rPr>
            </w:pPr>
            <w:r w:rsidRPr="00E60F31">
              <w:rPr>
                <w:sz w:val="18"/>
                <w:szCs w:val="18"/>
                <w:lang w:val="en-US"/>
              </w:rPr>
              <w:t xml:space="preserve">15.7 (SD: 8.3) (ug/gr </w:t>
            </w:r>
            <w:proofErr w:type="spellStart"/>
            <w:r w:rsidRPr="00E60F31">
              <w:rPr>
                <w:sz w:val="18"/>
                <w:szCs w:val="18"/>
                <w:lang w:val="en-US"/>
              </w:rPr>
              <w:t>creat</w:t>
            </w:r>
            <w:proofErr w:type="spellEnd"/>
            <w:r w:rsidRPr="00E60F31">
              <w:rPr>
                <w:sz w:val="18"/>
                <w:szCs w:val="18"/>
                <w:lang w:val="en-US"/>
              </w:rPr>
              <w:t>)</w:t>
            </w:r>
          </w:p>
        </w:tc>
        <w:tc>
          <w:tcPr>
            <w:tcW w:w="1417" w:type="dxa"/>
            <w:shd w:val="clear" w:color="auto" w:fill="auto"/>
          </w:tcPr>
          <w:p w14:paraId="4AE298B6" w14:textId="651D068D" w:rsidR="004D7210" w:rsidRPr="00E60F31" w:rsidRDefault="006D20E6" w:rsidP="005442CF">
            <w:pPr>
              <w:rPr>
                <w:sz w:val="18"/>
                <w:szCs w:val="18"/>
              </w:rPr>
            </w:pPr>
            <w:r>
              <w:rPr>
                <w:sz w:val="18"/>
                <w:szCs w:val="18"/>
              </w:rPr>
              <w:fldChar w:fldCharType="begin" w:fldLock="1"/>
            </w:r>
            <w:r>
              <w:rPr>
                <w:sz w:val="18"/>
                <w:szCs w:val="18"/>
              </w:rPr>
              <w:instrText>ADDIN CSL_CITATION {"citationItems":[{"id":"ITEM-1","itemData":{"DOI":"10.1007/BF00405726","ISSN":"1432-1246","PMID":"8253517","abstract":"The study validated the use of urinary toluene diamine (TDA) in postshift samples as an indicator of preceding 8-h exposure to toluene diisocyanate (TDI). Nine workers exposed in TDI-based polyurethane foam production were studied. Their exposure levels varied in 8-h time-averaged samples from 9.5 to 94 μg/m3. The urinary TDA concentrations varied from 6.5 to 31.7μg/g creatinine and they were linearly related to the atmospheric TDI levels. Approximately 20% of TDI is metabolized to diamines but their specificity is remarkable to the extent that by analysis for the 2,4- and 2,6-diamino isomers an idea of the percutaneous absorption may be had.","author":[{"dropping-particle":"","family":"Maître","given":"A.","non-dropping-particle":"","parse-names":false,"suffix":""},{"dropping-particle":"","family":"Berode","given":"M.","non-dropping-particle":"","parse-names":false,"suffix":""},{"dropping-particle":"","family":"Perdrix","given":"A.","non-dropping-particle":"","parse-names":false,"suffix":""},{"dropping-particle":"","family":"Romazini","given":"S.","non-dropping-particle":"","parse-names":false,"suffix":""},{"dropping-particle":"","family":"Savolainen","given":"H.","non-dropping-particle":"","parse-names":false,"suffix":""}],"container-title":"International Archives of Occupational and Environmental Health 1993 65:2","id":"ITEM-1","issue":"2","issued":{"date-parts":[["1993","9"]]},"page":"97-100","publisher":"Springer","title":"Biological monitoring of occupational exposure to toluene diisocyanate","type":"article-journal","volume":"65"},"uris":["http://www.mendeley.com/documents/?uuid=b73f1385-4840-38ef-9eed-1b7899e41148"]}],"mendeley":{"formattedCitation":"(Maître et al. 1993)","plainTextFormattedCitation":"(Maître et al. 1993)","previouslyFormattedCitation":"(Maître et al. 1993)"},"properties":{"noteIndex":0},"schema":"https://github.com/citation-style-language/schema/raw/master/csl-citation.json"}</w:instrText>
            </w:r>
            <w:r>
              <w:rPr>
                <w:sz w:val="18"/>
                <w:szCs w:val="18"/>
              </w:rPr>
              <w:fldChar w:fldCharType="separate"/>
            </w:r>
            <w:r w:rsidRPr="006D20E6">
              <w:rPr>
                <w:noProof/>
                <w:sz w:val="18"/>
                <w:szCs w:val="18"/>
              </w:rPr>
              <w:t>(Maître et al. 1993)</w:t>
            </w:r>
            <w:r>
              <w:rPr>
                <w:sz w:val="18"/>
                <w:szCs w:val="18"/>
              </w:rPr>
              <w:fldChar w:fldCharType="end"/>
            </w:r>
          </w:p>
          <w:p w14:paraId="7209648B" w14:textId="77777777" w:rsidR="004D7210" w:rsidRPr="00E60F31" w:rsidRDefault="004D7210" w:rsidP="005442CF">
            <w:pPr>
              <w:rPr>
                <w:sz w:val="18"/>
                <w:szCs w:val="18"/>
              </w:rPr>
            </w:pPr>
          </w:p>
          <w:p w14:paraId="6D630DF2" w14:textId="77777777" w:rsidR="004D7210" w:rsidRPr="00E60F31" w:rsidRDefault="004D7210" w:rsidP="005442CF">
            <w:pPr>
              <w:rPr>
                <w:sz w:val="18"/>
                <w:szCs w:val="18"/>
              </w:rPr>
            </w:pPr>
          </w:p>
          <w:p w14:paraId="0C1AFB06" w14:textId="77777777" w:rsidR="004D7210" w:rsidRPr="00E60F31" w:rsidRDefault="004D7210" w:rsidP="005442CF">
            <w:pPr>
              <w:rPr>
                <w:sz w:val="18"/>
                <w:szCs w:val="18"/>
              </w:rPr>
            </w:pPr>
          </w:p>
          <w:p w14:paraId="021CBD45" w14:textId="77777777" w:rsidR="004D7210" w:rsidRPr="00E60F31" w:rsidRDefault="004D7210" w:rsidP="005442CF">
            <w:pPr>
              <w:rPr>
                <w:sz w:val="18"/>
                <w:szCs w:val="18"/>
              </w:rPr>
            </w:pPr>
          </w:p>
          <w:p w14:paraId="2395BA5D" w14:textId="77777777" w:rsidR="004D7210" w:rsidRPr="00E60F31" w:rsidRDefault="004D7210" w:rsidP="005442CF">
            <w:pPr>
              <w:rPr>
                <w:sz w:val="18"/>
                <w:szCs w:val="18"/>
              </w:rPr>
            </w:pPr>
          </w:p>
          <w:p w14:paraId="421B4167" w14:textId="77777777" w:rsidR="004D7210" w:rsidRPr="00E60F31" w:rsidRDefault="004D7210" w:rsidP="005442CF">
            <w:pPr>
              <w:rPr>
                <w:sz w:val="18"/>
                <w:szCs w:val="18"/>
              </w:rPr>
            </w:pPr>
          </w:p>
          <w:p w14:paraId="2AA8DF11" w14:textId="77777777" w:rsidR="004D7210" w:rsidRPr="00E60F31" w:rsidRDefault="004D7210" w:rsidP="005442CF">
            <w:pPr>
              <w:rPr>
                <w:sz w:val="18"/>
                <w:szCs w:val="18"/>
              </w:rPr>
            </w:pPr>
          </w:p>
        </w:tc>
      </w:tr>
      <w:tr w:rsidR="006D20E6" w:rsidRPr="00E60F31" w14:paraId="744D447E" w14:textId="77777777" w:rsidTr="005442CF">
        <w:trPr>
          <w:trHeight w:val="440"/>
        </w:trPr>
        <w:tc>
          <w:tcPr>
            <w:tcW w:w="1229" w:type="dxa"/>
            <w:shd w:val="clear" w:color="auto" w:fill="auto"/>
          </w:tcPr>
          <w:p w14:paraId="41465B31" w14:textId="77777777" w:rsidR="004D7210" w:rsidRDefault="004D7210" w:rsidP="005442CF">
            <w:pPr>
              <w:rPr>
                <w:sz w:val="20"/>
                <w:szCs w:val="20"/>
                <w:lang w:val="en-US"/>
              </w:rPr>
            </w:pPr>
            <w:r>
              <w:rPr>
                <w:sz w:val="20"/>
                <w:szCs w:val="20"/>
                <w:lang w:val="en-US"/>
              </w:rPr>
              <w:t>Sweden</w:t>
            </w:r>
          </w:p>
          <w:p w14:paraId="4325376C" w14:textId="77777777" w:rsidR="004D7210" w:rsidRPr="00E60F31" w:rsidRDefault="004D7210" w:rsidP="005442CF">
            <w:pPr>
              <w:rPr>
                <w:sz w:val="20"/>
                <w:szCs w:val="20"/>
                <w:lang w:val="en-US"/>
              </w:rPr>
            </w:pPr>
            <w:r>
              <w:rPr>
                <w:sz w:val="20"/>
                <w:szCs w:val="20"/>
                <w:lang w:val="en-US"/>
              </w:rPr>
              <w:t>N = 24</w:t>
            </w:r>
          </w:p>
        </w:tc>
        <w:tc>
          <w:tcPr>
            <w:tcW w:w="1400" w:type="dxa"/>
            <w:shd w:val="clear" w:color="auto" w:fill="auto"/>
          </w:tcPr>
          <w:p w14:paraId="05CC1529" w14:textId="77777777" w:rsidR="004D7210" w:rsidRPr="0095644F" w:rsidRDefault="004D7210" w:rsidP="005442CF">
            <w:pPr>
              <w:rPr>
                <w:b/>
                <w:bCs/>
                <w:sz w:val="20"/>
                <w:szCs w:val="20"/>
                <w:lang w:val="en-US"/>
              </w:rPr>
            </w:pPr>
            <w:r w:rsidRPr="0095644F">
              <w:rPr>
                <w:b/>
                <w:bCs/>
                <w:sz w:val="20"/>
                <w:szCs w:val="20"/>
                <w:lang w:val="en-US"/>
              </w:rPr>
              <w:t>Pre-shift levels</w:t>
            </w:r>
          </w:p>
        </w:tc>
        <w:tc>
          <w:tcPr>
            <w:tcW w:w="1335" w:type="dxa"/>
            <w:shd w:val="clear" w:color="auto" w:fill="auto"/>
          </w:tcPr>
          <w:p w14:paraId="01548118" w14:textId="77777777" w:rsidR="004D7210" w:rsidRPr="00E60F31" w:rsidRDefault="004D7210" w:rsidP="005442CF">
            <w:pPr>
              <w:rPr>
                <w:sz w:val="20"/>
                <w:szCs w:val="20"/>
                <w:lang w:val="en-US"/>
              </w:rPr>
            </w:pPr>
          </w:p>
        </w:tc>
        <w:tc>
          <w:tcPr>
            <w:tcW w:w="1560" w:type="dxa"/>
            <w:shd w:val="clear" w:color="auto" w:fill="auto"/>
          </w:tcPr>
          <w:p w14:paraId="21E915DD" w14:textId="77777777" w:rsidR="004D7210" w:rsidRPr="00E60F31" w:rsidRDefault="004D7210" w:rsidP="005442CF">
            <w:pPr>
              <w:rPr>
                <w:sz w:val="20"/>
                <w:szCs w:val="20"/>
                <w:lang w:val="en-US"/>
              </w:rPr>
            </w:pPr>
          </w:p>
        </w:tc>
        <w:tc>
          <w:tcPr>
            <w:tcW w:w="1544" w:type="dxa"/>
            <w:shd w:val="clear" w:color="auto" w:fill="auto"/>
          </w:tcPr>
          <w:p w14:paraId="05F89635" w14:textId="77777777" w:rsidR="004D7210" w:rsidRPr="00E60F31" w:rsidRDefault="004D7210" w:rsidP="005442CF">
            <w:pPr>
              <w:rPr>
                <w:sz w:val="20"/>
                <w:szCs w:val="20"/>
                <w:lang w:val="en-US"/>
              </w:rPr>
            </w:pPr>
            <w:r w:rsidRPr="00174532">
              <w:rPr>
                <w:sz w:val="18"/>
                <w:szCs w:val="18"/>
                <w:lang w:val="en-US"/>
              </w:rPr>
              <w:t>I choose the results f</w:t>
            </w:r>
            <w:r>
              <w:rPr>
                <w:sz w:val="18"/>
                <w:szCs w:val="18"/>
                <w:lang w:val="en-US"/>
              </w:rPr>
              <w:t>rom plant A because there was no mention of RPE use for this sector</w:t>
            </w:r>
          </w:p>
        </w:tc>
        <w:tc>
          <w:tcPr>
            <w:tcW w:w="1701" w:type="dxa"/>
            <w:shd w:val="clear" w:color="auto" w:fill="auto"/>
          </w:tcPr>
          <w:p w14:paraId="2CA722D8" w14:textId="77777777" w:rsidR="004D7210" w:rsidRPr="00E60F31" w:rsidRDefault="004D7210" w:rsidP="005442CF">
            <w:pPr>
              <w:rPr>
                <w:sz w:val="20"/>
                <w:szCs w:val="20"/>
                <w:lang w:val="en-US"/>
              </w:rPr>
            </w:pPr>
          </w:p>
        </w:tc>
        <w:tc>
          <w:tcPr>
            <w:tcW w:w="1276" w:type="dxa"/>
            <w:shd w:val="clear" w:color="auto" w:fill="auto"/>
          </w:tcPr>
          <w:p w14:paraId="22F0816A" w14:textId="77777777" w:rsidR="004D7210" w:rsidRPr="00446F99" w:rsidRDefault="004D7210" w:rsidP="005442CF">
            <w:pPr>
              <w:rPr>
                <w:sz w:val="18"/>
                <w:szCs w:val="18"/>
                <w:lang w:val="en-US"/>
              </w:rPr>
            </w:pPr>
            <w:r w:rsidRPr="00446F99">
              <w:rPr>
                <w:sz w:val="18"/>
                <w:szCs w:val="18"/>
                <w:lang w:val="en-US"/>
              </w:rPr>
              <w:t>Between 0.52</w:t>
            </w:r>
          </w:p>
          <w:p w14:paraId="7FA17F88" w14:textId="77777777" w:rsidR="004D7210" w:rsidRPr="00E60F31" w:rsidRDefault="004D7210" w:rsidP="005442CF">
            <w:pPr>
              <w:rPr>
                <w:sz w:val="18"/>
                <w:szCs w:val="18"/>
                <w:lang w:val="en-US"/>
              </w:rPr>
            </w:pPr>
            <w:r w:rsidRPr="00446F99">
              <w:rPr>
                <w:sz w:val="18"/>
                <w:szCs w:val="18"/>
                <w:lang w:val="en-US"/>
              </w:rPr>
              <w:t>and 4.1 ug/m3 for 2,4-TDI, 0.21 and 1.5 ug/m3 for 2,6-TDI</w:t>
            </w:r>
          </w:p>
        </w:tc>
        <w:tc>
          <w:tcPr>
            <w:tcW w:w="2410" w:type="dxa"/>
            <w:shd w:val="clear" w:color="auto" w:fill="auto"/>
          </w:tcPr>
          <w:p w14:paraId="71A6798E" w14:textId="77777777" w:rsidR="004D7210" w:rsidRPr="00E60F31" w:rsidRDefault="004D7210" w:rsidP="005442CF">
            <w:pPr>
              <w:rPr>
                <w:sz w:val="18"/>
                <w:szCs w:val="18"/>
                <w:lang w:val="en-US"/>
              </w:rPr>
            </w:pPr>
            <w:r>
              <w:rPr>
                <w:sz w:val="18"/>
                <w:szCs w:val="18"/>
                <w:lang w:val="en-US"/>
              </w:rPr>
              <w:t>Levels between 0.5 and 5.4 ng/ml = 0.37 and 4 ug/gr creatinine</w:t>
            </w:r>
          </w:p>
        </w:tc>
        <w:tc>
          <w:tcPr>
            <w:tcW w:w="1417" w:type="dxa"/>
            <w:shd w:val="clear" w:color="auto" w:fill="auto"/>
          </w:tcPr>
          <w:p w14:paraId="1A922976" w14:textId="2BFA95CC" w:rsidR="004D7210" w:rsidRPr="00E60F31" w:rsidRDefault="006D20E6" w:rsidP="005442CF">
            <w:pPr>
              <w:rPr>
                <w:sz w:val="18"/>
                <w:szCs w:val="18"/>
              </w:rPr>
            </w:pPr>
            <w:r>
              <w:rPr>
                <w:sz w:val="18"/>
                <w:szCs w:val="18"/>
              </w:rPr>
              <w:fldChar w:fldCharType="begin" w:fldLock="1"/>
            </w:r>
            <w:r>
              <w:rPr>
                <w:sz w:val="18"/>
                <w:szCs w:val="18"/>
              </w:rPr>
              <w:instrText>ADDIN CSL_CITATION {"citationItems":[{"id":"ITEM-1","itemData":{"DOI":"10.1007/S00420-013-0872-Y/FIGURES/3","ISSN":"03400131","PMID":"23558852","abstract":"Purpose: Exposure to diisocyanates is a known occupational hazard. One method for monitoring occupational exposure is by analyzing biomarkers in hydrolyzed urine and plasma. The half-life of the biomarkers in plasma is about 3 weeks, and the urinary elimination is divided into one fast (hours) and one slow phases (weeks). Polymorphism in glutathione S-transferase enzymes (GST) is earlier shown to modify the metabolism. The aim of the study was to assess whether biomarkers of exposure in urine collected after two non-exposed days correlate with levels in plasma and whether they can be used as a measure for long-term exposure to aromatic diisocyanates and further whether polymorphisms in GST influenced the correlations. Methods: Biomarkers of exposure was analyzed in urine and blood samples collected from 24 workers, exposed to at least one of toluene-, methylenediphenyl- or naphthalene diisocyanate, on a Monday morning after at least two unexposed days. Moreover, genotype was determined for 19 of the workers. Results: The corresponding specific gravity-adjusted biomarkers in urine and plasma levels for the different diisocyanates correlated well (r between 0.689 and 0.988). When taking all samples together, the correlation coefficient was 0.926. Polymorphism in the GSTM1 genotype seemed to modify the association. Conclusion: Urine collected after two unexposed days can possibly be used as long-term biomarker of exposure for aromatic diisocyanates. © 2013 Springer-Verlag Berlin Heidelberg.","author":[{"dropping-particle":"","family":"Tinnerberg","given":"Håkan","non-dropping-particle":"","parse-names":false,"suffix":""},{"dropping-particle":"","family":"Broberg","given":"Karin","non-dropping-particle":"","parse-names":false,"suffix":""},{"dropping-particle":"","family":"Lindh","given":"Christian H.","non-dropping-particle":"","parse-names":false,"suffix":""},{"dropping-particle":"","family":"Jönsson","given":"Bo A.G.","non-dropping-particle":"","parse-names":false,"suffix":""}],"container-title":"International Archives of Occupational and Environmental Health","id":"ITEM-1","issue":"4","issued":{"date-parts":[["2014","4","5"]]},"page":"365-372","publisher":"Springer Verlag","title":"Biomarkers of exposure in Monday morning urine samples as a long-term measure of exposure to aromatic diisocyanates","type":"article-journal","volume":"87"},"uris":["http://www.mendeley.com/documents/?uuid=febb0603-9bfb-3633-ad97-3ec44a0b1052"]}],"mendeley":{"formattedCitation":"(Tinnerberg et al. 2014)","plainTextFormattedCitation":"(Tinnerberg et al. 2014)","previouslyFormattedCitation":"(Tinnerberg et al. 2014)"},"properties":{"noteIndex":0},"schema":"https://github.com/citation-style-language/schema/raw/master/csl-citation.json"}</w:instrText>
            </w:r>
            <w:r>
              <w:rPr>
                <w:sz w:val="18"/>
                <w:szCs w:val="18"/>
              </w:rPr>
              <w:fldChar w:fldCharType="separate"/>
            </w:r>
            <w:r w:rsidRPr="006D20E6">
              <w:rPr>
                <w:noProof/>
                <w:sz w:val="18"/>
                <w:szCs w:val="18"/>
              </w:rPr>
              <w:t>(Tinnerberg et al. 2014)</w:t>
            </w:r>
            <w:r>
              <w:rPr>
                <w:sz w:val="18"/>
                <w:szCs w:val="18"/>
              </w:rPr>
              <w:fldChar w:fldCharType="end"/>
            </w:r>
          </w:p>
        </w:tc>
      </w:tr>
    </w:tbl>
    <w:p w14:paraId="5349918E" w14:textId="77777777" w:rsidR="004D7210" w:rsidRPr="00E60F31" w:rsidRDefault="004D7210" w:rsidP="004D7210">
      <w:pPr>
        <w:rPr>
          <w:sz w:val="18"/>
          <w:szCs w:val="18"/>
        </w:rPr>
      </w:pPr>
      <w:r w:rsidRPr="00E60F31">
        <w:rPr>
          <w:rFonts w:ascii="Times New Roman" w:hAnsi="Times New Roman" w:cs="Times New Roman"/>
          <w:sz w:val="24"/>
          <w:szCs w:val="24"/>
        </w:rPr>
        <w:br w:type="page"/>
      </w:r>
    </w:p>
    <w:p w14:paraId="4861D11F" w14:textId="77777777" w:rsidR="004D7210" w:rsidRDefault="004D7210" w:rsidP="004D7210">
      <w:pPr>
        <w:keepNext/>
        <w:rPr>
          <w:rFonts w:cstheme="minorHAnsi"/>
          <w:color w:val="FF0000"/>
        </w:rPr>
        <w:sectPr w:rsidR="004D7210" w:rsidSect="00121DCB">
          <w:pgSz w:w="16838" w:h="11906" w:orient="landscape"/>
          <w:pgMar w:top="1440" w:right="1440" w:bottom="1440" w:left="1440" w:header="706" w:footer="706" w:gutter="0"/>
          <w:cols w:space="708"/>
          <w:docGrid w:linePitch="360"/>
        </w:sectPr>
      </w:pPr>
    </w:p>
    <w:p w14:paraId="6BA0789D" w14:textId="77777777" w:rsidR="004D7210" w:rsidRPr="00724BA9" w:rsidRDefault="004D7210" w:rsidP="004D7210">
      <w:pPr>
        <w:rPr>
          <w:rFonts w:ascii="Times New Roman" w:hAnsi="Times New Roman" w:cs="Times New Roman"/>
          <w:sz w:val="24"/>
          <w:szCs w:val="24"/>
          <w:lang w:val="en-US"/>
        </w:rPr>
      </w:pPr>
    </w:p>
    <w:p w14:paraId="063FFD86" w14:textId="351B12E7" w:rsidR="004D7210" w:rsidRDefault="004D7210" w:rsidP="004D7210">
      <w:pPr>
        <w:pStyle w:val="Heading1"/>
        <w:rPr>
          <w:lang w:val="en-US"/>
        </w:rPr>
      </w:pPr>
      <w:r>
        <w:rPr>
          <w:lang w:val="en-US"/>
        </w:rPr>
        <w:t xml:space="preserve">Appendix </w:t>
      </w:r>
      <w:r w:rsidR="00121DCB">
        <w:rPr>
          <w:lang w:val="en-US"/>
        </w:rPr>
        <w:t>D</w:t>
      </w:r>
      <w:r>
        <w:rPr>
          <w:lang w:val="en-US"/>
        </w:rPr>
        <w:t xml:space="preserve"> - MDI studies</w:t>
      </w:r>
    </w:p>
    <w:p w14:paraId="5FEDB31A" w14:textId="77777777" w:rsidR="004D7210" w:rsidRDefault="004D7210" w:rsidP="004D7210">
      <w:pPr>
        <w:pStyle w:val="Caption"/>
      </w:pPr>
      <w:r>
        <w:t>Table S2. MDI studies for validation. Urinary concentrations are measured in post-shift samples unless indicated otherwise</w:t>
      </w:r>
    </w:p>
    <w:tbl>
      <w:tblPr>
        <w:tblStyle w:val="TableGrid"/>
        <w:tblW w:w="13462" w:type="dxa"/>
        <w:tblLook w:val="04A0" w:firstRow="1" w:lastRow="0" w:firstColumn="1" w:lastColumn="0" w:noHBand="0" w:noVBand="1"/>
      </w:tblPr>
      <w:tblGrid>
        <w:gridCol w:w="1301"/>
        <w:gridCol w:w="1388"/>
        <w:gridCol w:w="1134"/>
        <w:gridCol w:w="1559"/>
        <w:gridCol w:w="1701"/>
        <w:gridCol w:w="1676"/>
        <w:gridCol w:w="1313"/>
        <w:gridCol w:w="1976"/>
        <w:gridCol w:w="1414"/>
      </w:tblGrid>
      <w:tr w:rsidR="006D20E6" w:rsidRPr="00E60F31" w14:paraId="00D7C2EF" w14:textId="77777777" w:rsidTr="005442CF">
        <w:trPr>
          <w:tblHeader/>
        </w:trPr>
        <w:tc>
          <w:tcPr>
            <w:tcW w:w="1301" w:type="dxa"/>
          </w:tcPr>
          <w:p w14:paraId="3CFCD9D7" w14:textId="77777777" w:rsidR="004D7210" w:rsidRPr="00E60F31" w:rsidRDefault="004D7210" w:rsidP="005442CF">
            <w:pPr>
              <w:rPr>
                <w:b/>
                <w:bCs/>
                <w:sz w:val="18"/>
                <w:szCs w:val="18"/>
                <w:lang w:val="en-US"/>
              </w:rPr>
            </w:pPr>
            <w:r w:rsidRPr="00E60F31">
              <w:rPr>
                <w:b/>
                <w:bCs/>
                <w:sz w:val="18"/>
                <w:szCs w:val="18"/>
                <w:lang w:val="en-US"/>
              </w:rPr>
              <w:t>Country</w:t>
            </w:r>
            <w:r w:rsidRPr="00E60F31">
              <w:rPr>
                <w:b/>
                <w:bCs/>
                <w:sz w:val="18"/>
                <w:szCs w:val="18"/>
                <w:lang w:val="en-US"/>
              </w:rPr>
              <w:br/>
              <w:t>Sector</w:t>
            </w:r>
          </w:p>
          <w:p w14:paraId="4B3DEE70" w14:textId="77777777" w:rsidR="004D7210" w:rsidRPr="00E60F31" w:rsidRDefault="004D7210" w:rsidP="005442CF">
            <w:pPr>
              <w:rPr>
                <w:b/>
                <w:bCs/>
                <w:sz w:val="18"/>
                <w:szCs w:val="18"/>
                <w:lang w:val="en-US"/>
              </w:rPr>
            </w:pPr>
            <w:r w:rsidRPr="00E60F31">
              <w:rPr>
                <w:b/>
                <w:bCs/>
                <w:sz w:val="18"/>
                <w:szCs w:val="18"/>
                <w:lang w:val="en-US"/>
              </w:rPr>
              <w:t>N workers</w:t>
            </w:r>
          </w:p>
        </w:tc>
        <w:tc>
          <w:tcPr>
            <w:tcW w:w="1388" w:type="dxa"/>
          </w:tcPr>
          <w:p w14:paraId="21F116A8" w14:textId="77777777" w:rsidR="004D7210" w:rsidRPr="00E60F31" w:rsidRDefault="004D7210" w:rsidP="005442CF">
            <w:pPr>
              <w:rPr>
                <w:b/>
                <w:bCs/>
                <w:sz w:val="18"/>
                <w:szCs w:val="18"/>
                <w:lang w:val="en-US"/>
              </w:rPr>
            </w:pPr>
            <w:r w:rsidRPr="00E60F31">
              <w:rPr>
                <w:b/>
                <w:bCs/>
                <w:sz w:val="18"/>
                <w:szCs w:val="18"/>
                <w:lang w:val="en-US"/>
              </w:rPr>
              <w:t xml:space="preserve">Method of air sampling </w:t>
            </w:r>
          </w:p>
          <w:p w14:paraId="38FEE7F3" w14:textId="77777777" w:rsidR="004D7210" w:rsidRPr="00E60F31" w:rsidRDefault="004D7210" w:rsidP="005442CF">
            <w:pPr>
              <w:rPr>
                <w:b/>
                <w:bCs/>
                <w:sz w:val="18"/>
                <w:szCs w:val="18"/>
                <w:lang w:val="en-US"/>
              </w:rPr>
            </w:pPr>
            <w:r w:rsidRPr="00E60F31">
              <w:rPr>
                <w:b/>
                <w:bCs/>
                <w:sz w:val="18"/>
                <w:szCs w:val="18"/>
                <w:lang w:val="en-US"/>
              </w:rPr>
              <w:t>Task based or 8-hr average</w:t>
            </w:r>
          </w:p>
        </w:tc>
        <w:tc>
          <w:tcPr>
            <w:tcW w:w="1134" w:type="dxa"/>
          </w:tcPr>
          <w:p w14:paraId="2615229B" w14:textId="77777777" w:rsidR="004D7210" w:rsidRPr="00E60F31" w:rsidRDefault="004D7210" w:rsidP="005442CF">
            <w:pPr>
              <w:rPr>
                <w:b/>
                <w:bCs/>
                <w:sz w:val="18"/>
                <w:szCs w:val="18"/>
              </w:rPr>
            </w:pPr>
            <w:r w:rsidRPr="00E60F31">
              <w:rPr>
                <w:b/>
                <w:bCs/>
                <w:sz w:val="18"/>
                <w:szCs w:val="18"/>
              </w:rPr>
              <w:t xml:space="preserve">Exposure </w:t>
            </w:r>
            <w:proofErr w:type="spellStart"/>
            <w:r w:rsidRPr="00E60F31">
              <w:rPr>
                <w:b/>
                <w:bCs/>
                <w:sz w:val="18"/>
                <w:szCs w:val="18"/>
              </w:rPr>
              <w:t>duration</w:t>
            </w:r>
            <w:proofErr w:type="spellEnd"/>
            <w:r>
              <w:rPr>
                <w:b/>
                <w:bCs/>
                <w:sz w:val="18"/>
                <w:szCs w:val="18"/>
              </w:rPr>
              <w:t>/</w:t>
            </w:r>
          </w:p>
          <w:p w14:paraId="13DD592C" w14:textId="77777777" w:rsidR="004D7210" w:rsidRPr="00E60F31" w:rsidRDefault="004D7210" w:rsidP="005442CF">
            <w:pPr>
              <w:rPr>
                <w:b/>
                <w:bCs/>
                <w:sz w:val="18"/>
                <w:szCs w:val="18"/>
              </w:rPr>
            </w:pPr>
            <w:proofErr w:type="spellStart"/>
            <w:r w:rsidRPr="00E60F31">
              <w:rPr>
                <w:b/>
                <w:bCs/>
                <w:sz w:val="18"/>
                <w:szCs w:val="18"/>
              </w:rPr>
              <w:t>Working</w:t>
            </w:r>
            <w:proofErr w:type="spellEnd"/>
            <w:r w:rsidRPr="00E60F31">
              <w:rPr>
                <w:b/>
                <w:bCs/>
                <w:sz w:val="18"/>
                <w:szCs w:val="18"/>
              </w:rPr>
              <w:t xml:space="preserve"> </w:t>
            </w:r>
            <w:proofErr w:type="spellStart"/>
            <w:r w:rsidRPr="00E60F31">
              <w:rPr>
                <w:b/>
                <w:bCs/>
                <w:sz w:val="18"/>
                <w:szCs w:val="18"/>
              </w:rPr>
              <w:t>history</w:t>
            </w:r>
            <w:proofErr w:type="spellEnd"/>
          </w:p>
        </w:tc>
        <w:tc>
          <w:tcPr>
            <w:tcW w:w="1559" w:type="dxa"/>
          </w:tcPr>
          <w:p w14:paraId="2DB29DB0" w14:textId="77777777" w:rsidR="004D7210" w:rsidRPr="00E60F31" w:rsidRDefault="004D7210" w:rsidP="005442CF">
            <w:pPr>
              <w:rPr>
                <w:b/>
                <w:bCs/>
                <w:sz w:val="18"/>
                <w:szCs w:val="18"/>
              </w:rPr>
            </w:pPr>
            <w:r w:rsidRPr="00E60F31">
              <w:rPr>
                <w:b/>
                <w:bCs/>
                <w:sz w:val="18"/>
                <w:szCs w:val="18"/>
              </w:rPr>
              <w:t>Information on RPE</w:t>
            </w:r>
          </w:p>
        </w:tc>
        <w:tc>
          <w:tcPr>
            <w:tcW w:w="1701" w:type="dxa"/>
          </w:tcPr>
          <w:p w14:paraId="38584553" w14:textId="77777777" w:rsidR="004D7210" w:rsidRPr="00E60F31" w:rsidRDefault="004D7210" w:rsidP="005442CF">
            <w:pPr>
              <w:rPr>
                <w:b/>
                <w:bCs/>
                <w:sz w:val="18"/>
                <w:szCs w:val="18"/>
              </w:rPr>
            </w:pPr>
            <w:proofErr w:type="spellStart"/>
            <w:r w:rsidRPr="00E60F31">
              <w:rPr>
                <w:b/>
                <w:bCs/>
                <w:sz w:val="18"/>
                <w:szCs w:val="18"/>
              </w:rPr>
              <w:t>Other</w:t>
            </w:r>
            <w:proofErr w:type="spellEnd"/>
            <w:r w:rsidRPr="00E60F31">
              <w:rPr>
                <w:b/>
                <w:bCs/>
                <w:sz w:val="18"/>
                <w:szCs w:val="18"/>
              </w:rPr>
              <w:t xml:space="preserve"> information</w:t>
            </w:r>
            <w:r>
              <w:rPr>
                <w:b/>
                <w:bCs/>
                <w:sz w:val="18"/>
                <w:szCs w:val="18"/>
              </w:rPr>
              <w:t xml:space="preserve"> </w:t>
            </w:r>
          </w:p>
        </w:tc>
        <w:tc>
          <w:tcPr>
            <w:tcW w:w="1676" w:type="dxa"/>
          </w:tcPr>
          <w:p w14:paraId="2D685992" w14:textId="77777777" w:rsidR="004D7210" w:rsidRPr="00E60F31" w:rsidRDefault="004D7210" w:rsidP="005442CF">
            <w:pPr>
              <w:rPr>
                <w:b/>
                <w:bCs/>
                <w:sz w:val="18"/>
                <w:szCs w:val="18"/>
              </w:rPr>
            </w:pPr>
            <w:r>
              <w:rPr>
                <w:b/>
                <w:bCs/>
                <w:sz w:val="18"/>
                <w:szCs w:val="18"/>
              </w:rPr>
              <w:t>S</w:t>
            </w:r>
            <w:r w:rsidRPr="00B137CF">
              <w:rPr>
                <w:b/>
                <w:bCs/>
                <w:sz w:val="18"/>
                <w:szCs w:val="18"/>
              </w:rPr>
              <w:t xml:space="preserve">ample </w:t>
            </w:r>
            <w:proofErr w:type="spellStart"/>
            <w:r w:rsidRPr="00B137CF">
              <w:rPr>
                <w:b/>
                <w:bCs/>
                <w:sz w:val="18"/>
                <w:szCs w:val="18"/>
              </w:rPr>
              <w:t>collection</w:t>
            </w:r>
            <w:proofErr w:type="spellEnd"/>
            <w:r w:rsidRPr="00B137CF">
              <w:rPr>
                <w:b/>
                <w:bCs/>
                <w:sz w:val="18"/>
                <w:szCs w:val="18"/>
              </w:rPr>
              <w:t xml:space="preserve"> </w:t>
            </w:r>
            <w:proofErr w:type="spellStart"/>
            <w:r w:rsidRPr="00B137CF">
              <w:rPr>
                <w:b/>
                <w:bCs/>
                <w:sz w:val="18"/>
                <w:szCs w:val="18"/>
              </w:rPr>
              <w:t>specification</w:t>
            </w:r>
            <w:proofErr w:type="spellEnd"/>
          </w:p>
        </w:tc>
        <w:tc>
          <w:tcPr>
            <w:tcW w:w="1313" w:type="dxa"/>
          </w:tcPr>
          <w:p w14:paraId="1740F668" w14:textId="77777777" w:rsidR="004D7210" w:rsidRPr="00E60F31" w:rsidRDefault="004D7210" w:rsidP="005442CF">
            <w:pPr>
              <w:rPr>
                <w:b/>
                <w:bCs/>
                <w:sz w:val="18"/>
                <w:szCs w:val="18"/>
              </w:rPr>
            </w:pPr>
            <w:r w:rsidRPr="00E60F31">
              <w:rPr>
                <w:b/>
                <w:bCs/>
                <w:sz w:val="18"/>
                <w:szCs w:val="18"/>
              </w:rPr>
              <w:t xml:space="preserve">Exposure </w:t>
            </w:r>
          </w:p>
          <w:p w14:paraId="3239A862" w14:textId="77777777" w:rsidR="004D7210" w:rsidRPr="00E60F31" w:rsidRDefault="004D7210" w:rsidP="005442CF">
            <w:pPr>
              <w:rPr>
                <w:b/>
                <w:bCs/>
                <w:sz w:val="18"/>
                <w:szCs w:val="18"/>
              </w:rPr>
            </w:pPr>
            <w:r w:rsidRPr="00E60F31">
              <w:rPr>
                <w:b/>
                <w:bCs/>
                <w:sz w:val="18"/>
                <w:szCs w:val="18"/>
              </w:rPr>
              <w:t>(</w:t>
            </w:r>
            <w:proofErr w:type="gramStart"/>
            <w:r w:rsidRPr="00E60F31">
              <w:rPr>
                <w:b/>
                <w:bCs/>
                <w:sz w:val="18"/>
                <w:szCs w:val="18"/>
                <w:lang w:val="en-US"/>
              </w:rPr>
              <w:t>µ</w:t>
            </w:r>
            <w:proofErr w:type="gramEnd"/>
            <w:r w:rsidRPr="00E60F31">
              <w:rPr>
                <w:b/>
                <w:bCs/>
                <w:sz w:val="18"/>
                <w:szCs w:val="18"/>
              </w:rPr>
              <w:t>g/m</w:t>
            </w:r>
            <w:r w:rsidRPr="00E60F31">
              <w:rPr>
                <w:b/>
                <w:bCs/>
                <w:sz w:val="18"/>
                <w:szCs w:val="18"/>
                <w:vertAlign w:val="superscript"/>
              </w:rPr>
              <w:t>3</w:t>
            </w:r>
            <w:r w:rsidRPr="00E60F31">
              <w:rPr>
                <w:b/>
                <w:bCs/>
                <w:sz w:val="18"/>
                <w:szCs w:val="18"/>
              </w:rPr>
              <w:t>)</w:t>
            </w:r>
          </w:p>
        </w:tc>
        <w:tc>
          <w:tcPr>
            <w:tcW w:w="1976" w:type="dxa"/>
          </w:tcPr>
          <w:p w14:paraId="68FD7EB5" w14:textId="77777777" w:rsidR="004D7210" w:rsidRPr="00E60F31" w:rsidRDefault="004D7210" w:rsidP="005442CF">
            <w:pPr>
              <w:rPr>
                <w:b/>
                <w:bCs/>
                <w:sz w:val="18"/>
                <w:szCs w:val="18"/>
                <w:lang w:val="en-US"/>
              </w:rPr>
            </w:pPr>
            <w:r w:rsidRPr="00E60F31">
              <w:rPr>
                <w:b/>
                <w:bCs/>
                <w:sz w:val="18"/>
                <w:szCs w:val="18"/>
                <w:lang w:val="en-US"/>
              </w:rPr>
              <w:t xml:space="preserve">Urinary concentration </w:t>
            </w:r>
          </w:p>
        </w:tc>
        <w:tc>
          <w:tcPr>
            <w:tcW w:w="1414" w:type="dxa"/>
          </w:tcPr>
          <w:p w14:paraId="5FF2CE0D" w14:textId="77777777" w:rsidR="004D7210" w:rsidRPr="00E60F31" w:rsidRDefault="004D7210" w:rsidP="005442CF">
            <w:pPr>
              <w:rPr>
                <w:b/>
                <w:bCs/>
                <w:sz w:val="18"/>
                <w:szCs w:val="18"/>
              </w:rPr>
            </w:pPr>
            <w:r w:rsidRPr="00E60F31">
              <w:rPr>
                <w:b/>
                <w:bCs/>
                <w:sz w:val="18"/>
                <w:szCs w:val="18"/>
              </w:rPr>
              <w:t xml:space="preserve">Reference </w:t>
            </w:r>
          </w:p>
        </w:tc>
      </w:tr>
      <w:tr w:rsidR="006D20E6" w:rsidRPr="00EE2AEF" w14:paraId="605E31AB" w14:textId="77777777" w:rsidTr="005442CF">
        <w:tc>
          <w:tcPr>
            <w:tcW w:w="1301" w:type="dxa"/>
          </w:tcPr>
          <w:p w14:paraId="705E081D" w14:textId="77777777" w:rsidR="004D7210" w:rsidRPr="00E60F31" w:rsidRDefault="004D7210" w:rsidP="005442CF">
            <w:pPr>
              <w:rPr>
                <w:sz w:val="18"/>
                <w:szCs w:val="18"/>
                <w:lang w:val="en-US"/>
              </w:rPr>
            </w:pPr>
            <w:r w:rsidRPr="00E60F31">
              <w:rPr>
                <w:sz w:val="18"/>
                <w:szCs w:val="18"/>
                <w:lang w:val="en-US"/>
              </w:rPr>
              <w:t>USA</w:t>
            </w:r>
          </w:p>
          <w:p w14:paraId="626A30B4" w14:textId="77777777" w:rsidR="004D7210" w:rsidRPr="00E60F31" w:rsidRDefault="004D7210" w:rsidP="005442CF">
            <w:pPr>
              <w:rPr>
                <w:sz w:val="18"/>
                <w:szCs w:val="18"/>
                <w:lang w:val="en-US"/>
              </w:rPr>
            </w:pPr>
            <w:r w:rsidRPr="00E60F31">
              <w:rPr>
                <w:sz w:val="18"/>
                <w:szCs w:val="18"/>
                <w:lang w:val="en-US"/>
              </w:rPr>
              <w:t>N</w:t>
            </w:r>
            <w:proofErr w:type="gramStart"/>
            <w:r w:rsidRPr="00E60F31">
              <w:rPr>
                <w:sz w:val="18"/>
                <w:szCs w:val="18"/>
                <w:lang w:val="en-US"/>
              </w:rPr>
              <w:t>=  21</w:t>
            </w:r>
            <w:proofErr w:type="gramEnd"/>
          </w:p>
        </w:tc>
        <w:tc>
          <w:tcPr>
            <w:tcW w:w="1388" w:type="dxa"/>
            <w:shd w:val="clear" w:color="auto" w:fill="auto"/>
          </w:tcPr>
          <w:p w14:paraId="1EDB4BA0" w14:textId="77777777" w:rsidR="004D7210" w:rsidRPr="00E60F31" w:rsidRDefault="004D7210" w:rsidP="005442CF">
            <w:pPr>
              <w:rPr>
                <w:sz w:val="18"/>
                <w:szCs w:val="18"/>
                <w:lang w:val="en-US"/>
              </w:rPr>
            </w:pPr>
            <w:r w:rsidRPr="00E60F31">
              <w:rPr>
                <w:sz w:val="18"/>
                <w:szCs w:val="18"/>
                <w:lang w:val="en-US"/>
              </w:rPr>
              <w:t>Personal and stationary sampling (median personal sampling time: 70 min)</w:t>
            </w:r>
          </w:p>
        </w:tc>
        <w:tc>
          <w:tcPr>
            <w:tcW w:w="1134" w:type="dxa"/>
          </w:tcPr>
          <w:p w14:paraId="5DF0F19F" w14:textId="77777777" w:rsidR="004D7210" w:rsidRPr="00E60F31" w:rsidRDefault="004D7210" w:rsidP="005442CF">
            <w:pPr>
              <w:rPr>
                <w:sz w:val="18"/>
                <w:szCs w:val="18"/>
                <w:lang w:val="en-US"/>
              </w:rPr>
            </w:pPr>
          </w:p>
        </w:tc>
        <w:tc>
          <w:tcPr>
            <w:tcW w:w="1559" w:type="dxa"/>
          </w:tcPr>
          <w:p w14:paraId="7F7238F3" w14:textId="77777777" w:rsidR="004D7210" w:rsidRPr="00E60F31" w:rsidRDefault="004D7210" w:rsidP="005442CF">
            <w:pPr>
              <w:rPr>
                <w:sz w:val="18"/>
                <w:szCs w:val="18"/>
                <w:lang w:val="en-US"/>
              </w:rPr>
            </w:pPr>
            <w:r w:rsidRPr="00E60F31">
              <w:rPr>
                <w:sz w:val="18"/>
                <w:szCs w:val="18"/>
                <w:lang w:val="en-US"/>
              </w:rPr>
              <w:t>PPE used by most workers (full- and half face respirators)</w:t>
            </w:r>
          </w:p>
        </w:tc>
        <w:tc>
          <w:tcPr>
            <w:tcW w:w="1701" w:type="dxa"/>
          </w:tcPr>
          <w:p w14:paraId="5BFFBA76" w14:textId="77777777" w:rsidR="004D7210" w:rsidRPr="00E60F31" w:rsidRDefault="004D7210" w:rsidP="005442CF">
            <w:pPr>
              <w:rPr>
                <w:sz w:val="18"/>
                <w:szCs w:val="18"/>
                <w:lang w:val="en-US"/>
              </w:rPr>
            </w:pPr>
          </w:p>
        </w:tc>
        <w:tc>
          <w:tcPr>
            <w:tcW w:w="1676" w:type="dxa"/>
          </w:tcPr>
          <w:p w14:paraId="7CA12831" w14:textId="77777777" w:rsidR="004D7210" w:rsidRPr="00E60F31" w:rsidRDefault="004D7210" w:rsidP="005442CF">
            <w:pPr>
              <w:rPr>
                <w:sz w:val="18"/>
                <w:szCs w:val="18"/>
                <w:lang w:val="en-US"/>
              </w:rPr>
            </w:pPr>
            <w:r w:rsidRPr="00E60F31">
              <w:rPr>
                <w:sz w:val="18"/>
                <w:szCs w:val="18"/>
                <w:lang w:val="en-US"/>
              </w:rPr>
              <w:t>Acid hydrolysis (sulfuric acid)</w:t>
            </w:r>
          </w:p>
        </w:tc>
        <w:tc>
          <w:tcPr>
            <w:tcW w:w="1313" w:type="dxa"/>
          </w:tcPr>
          <w:p w14:paraId="4D8FCC26" w14:textId="77777777" w:rsidR="004D7210" w:rsidRPr="00E60F31" w:rsidRDefault="004D7210" w:rsidP="005442CF">
            <w:pPr>
              <w:rPr>
                <w:sz w:val="18"/>
                <w:szCs w:val="18"/>
                <w:lang w:val="en-US"/>
              </w:rPr>
            </w:pPr>
            <w:r w:rsidRPr="00E60F31">
              <w:rPr>
                <w:sz w:val="18"/>
                <w:szCs w:val="18"/>
                <w:lang w:val="en-US"/>
              </w:rPr>
              <w:t>GM: 13.8 (GSD: 4.8)</w:t>
            </w:r>
          </w:p>
        </w:tc>
        <w:tc>
          <w:tcPr>
            <w:tcW w:w="1976" w:type="dxa"/>
          </w:tcPr>
          <w:p w14:paraId="20979A75" w14:textId="77777777" w:rsidR="004D7210" w:rsidRPr="006C6273" w:rsidRDefault="004D7210" w:rsidP="005442CF">
            <w:pPr>
              <w:rPr>
                <w:sz w:val="18"/>
                <w:szCs w:val="18"/>
                <w:lang w:val="es-ES"/>
              </w:rPr>
            </w:pPr>
            <w:r w:rsidRPr="006C6273">
              <w:rPr>
                <w:sz w:val="18"/>
                <w:szCs w:val="18"/>
                <w:lang w:val="es-ES"/>
              </w:rPr>
              <w:t xml:space="preserve">GM: 0.7 (GSD: 3.0) </w:t>
            </w:r>
            <w:proofErr w:type="spellStart"/>
            <w:r w:rsidRPr="006C6273">
              <w:rPr>
                <w:sz w:val="18"/>
                <w:szCs w:val="18"/>
                <w:lang w:val="es-ES"/>
              </w:rPr>
              <w:t>umol</w:t>
            </w:r>
            <w:proofErr w:type="spellEnd"/>
            <w:r w:rsidRPr="006C6273">
              <w:rPr>
                <w:sz w:val="18"/>
                <w:szCs w:val="18"/>
                <w:lang w:val="es-ES"/>
              </w:rPr>
              <w:t xml:space="preserve"> MDA/mol </w:t>
            </w:r>
            <w:proofErr w:type="spellStart"/>
            <w:r w:rsidRPr="006C6273">
              <w:rPr>
                <w:sz w:val="18"/>
                <w:szCs w:val="18"/>
                <w:lang w:val="es-ES"/>
              </w:rPr>
              <w:t>cr</w:t>
            </w:r>
            <w:proofErr w:type="spellEnd"/>
            <w:r w:rsidRPr="006C6273">
              <w:rPr>
                <w:sz w:val="18"/>
                <w:szCs w:val="18"/>
                <w:lang w:val="es-ES"/>
              </w:rPr>
              <w:t>.</w:t>
            </w:r>
          </w:p>
        </w:tc>
        <w:tc>
          <w:tcPr>
            <w:tcW w:w="1414" w:type="dxa"/>
          </w:tcPr>
          <w:p w14:paraId="730D4D5F" w14:textId="7E9E3DB1" w:rsidR="004D7210" w:rsidRPr="006D20E6" w:rsidRDefault="006D20E6" w:rsidP="005442CF">
            <w:pPr>
              <w:rPr>
                <w:sz w:val="18"/>
                <w:szCs w:val="18"/>
                <w:lang w:val="en-GB"/>
              </w:rPr>
            </w:pPr>
            <w:r>
              <w:rPr>
                <w:sz w:val="18"/>
                <w:szCs w:val="18"/>
              </w:rPr>
              <w:fldChar w:fldCharType="begin" w:fldLock="1"/>
            </w:r>
            <w:r>
              <w:rPr>
                <w:sz w:val="18"/>
                <w:szCs w:val="18"/>
              </w:rPr>
              <w:instrText>ADDIN CSL_CITATION {"citationItems":[{"id":"ITEM-1","itemData":{"DOI":"10.1016/J.IJHEH.2019.04.014","ISSN":"1438-4639","PMID":"31076286","abstract":"In this work we characterize personal inhalation and dermal exposures to diphenyl methane diisocyanate (MDI) and other species in polymeric MDI (pMDI) formulations during spray polyurethane foam (SPF) insulation at 14 sites in New England. We further assess the adequacy of current workplace practices and exposure controls via comparative urinary biomonitoring of the corresponding methylene diphenyl diamine (MDA) pre- and post-shift. MDI and pMDI are potent dermal and respiratory sensitizers and asthmagens, strong irritants of the skin, eyes, and the respiratory tract, and may cause skin burns. This study is the first comprehensive report to-date on the work practices, inhalation and dermal exposures to isocyanates and effectiveness of existing controls during SPF applications. Breathing zone exposures to 4,4′ MDI (n = 31; 24 sprayers, 7 helpers) ranged from 0.9 to 123.0 μg/m3 and had a geometric mean (GM) of 13.8 μg/m3 and geometric standard deviation (GSD) of 4.8. Stationary near field area samples (n = 15) were higher than personal exposures: GM, 40.9 (GSD, 3.9) μg/m3, range 1.4–240.8 μg/m3. Sixteen percent of personal air samples and 35% of area samples exceeded the National Institute for Occupational Health and Safety's (NIOSH) full shift recommended exposure limit (REL) of 50 μg/m3, assuming zero exposure for the unsampled time. 4,4′ MDI load on the glove dosimeters had a GM of 11.4 (GSD 2.9) μg/glove pair/min, suggesting high potential for dermal exposures. Urinary MDA had a GM of 0.7 (GSD, 3.0) μmol MDA/mol creatinine (range, nd-14.5 μmol MDA/mol creatinine). Twenty-five % of urine samples exceeded the Health and Safety Executive (HSE) biological monitoring guidance value (BMGV) of 1 μmol MDA/mol creatinine. We further report on field observations regarding current e</w:instrText>
            </w:r>
            <w:r w:rsidRPr="00D01C6A">
              <w:rPr>
                <w:sz w:val="18"/>
                <w:szCs w:val="18"/>
                <w:lang w:val="en-GB"/>
              </w:rPr>
              <w:instrText>xposure controls, discuss implications of these findings and opportunities for improving work practices to prevent isocyanate exposures during SPF insulation.","author":[{"dropping-particle":"","family":"Bello","given":"Anila","non-dropping-particle":"","parse-names":false,"suffix":""},{"dropping-particle":"","family":"Xue","given":"Yalong","non-dropping-particle":"","parse-names":false,"suffix":""},{"dropping-particle":"","family":"Gore","given":"Rebecca","non-dropping-particle":"","parse-names":false,"suffix":""},{"dropping-particle":"","family":"Woskie","given":"Susan","non-dropping-particle":"","parse-names":false,"suffix":""},{"dropping-particle":"","family":"Bello","given":"Dhimiter","non-dropping-particle":"","parse-names":false,"suffix":""}],"container-title":"International Journal of Hygiene and Environmental Health","id":"ITEM-1","issue":"5","issued":{"date-parts":[["2019","6","1"]]},"page":"804-815","publisher":"Urban &amp; Fischer","title":"Assessment and control of exposures to polymeric methylene diphenyl diisocyanate (pMDI) in spray polyurethane foam applicators","type":"article-journal","volume":"222"},"uris":["http://www.mendeley.com/documents/?uuid=2220b08f-7f3e-38c3-9cc2-16e49fdfdceb"]}],"mendeley":{"formattedCitation":"(Bello et al. 2019)","plainTextFormattedCitation":"(Bello et al. 2019)","previouslyFormattedCitation":"(Bello et al. 2019)"},"properties":{"noteIndex":0},"schema":"https://github.com/citation-style-language/schema/raw/master/csl-citation.json"}</w:instrText>
            </w:r>
            <w:r>
              <w:rPr>
                <w:sz w:val="18"/>
                <w:szCs w:val="18"/>
              </w:rPr>
              <w:fldChar w:fldCharType="separate"/>
            </w:r>
            <w:r w:rsidRPr="006D20E6">
              <w:rPr>
                <w:noProof/>
                <w:sz w:val="18"/>
                <w:szCs w:val="18"/>
                <w:lang w:val="en-GB"/>
              </w:rPr>
              <w:t>(Bello et al. 2019)</w:t>
            </w:r>
            <w:r>
              <w:rPr>
                <w:sz w:val="18"/>
                <w:szCs w:val="18"/>
              </w:rPr>
              <w:fldChar w:fldCharType="end"/>
            </w:r>
          </w:p>
        </w:tc>
      </w:tr>
      <w:tr w:rsidR="006D20E6" w:rsidRPr="006D20E6" w14:paraId="69906C31" w14:textId="77777777" w:rsidTr="005442CF">
        <w:tc>
          <w:tcPr>
            <w:tcW w:w="1301" w:type="dxa"/>
          </w:tcPr>
          <w:p w14:paraId="18A44637" w14:textId="77777777" w:rsidR="004D7210" w:rsidRPr="00E60F31" w:rsidRDefault="004D7210" w:rsidP="005442CF">
            <w:pPr>
              <w:rPr>
                <w:sz w:val="18"/>
                <w:szCs w:val="18"/>
                <w:lang w:val="en-US"/>
              </w:rPr>
            </w:pPr>
            <w:r w:rsidRPr="00E60F31">
              <w:rPr>
                <w:sz w:val="18"/>
                <w:szCs w:val="18"/>
                <w:lang w:val="en-US"/>
              </w:rPr>
              <w:t>Sweden</w:t>
            </w:r>
          </w:p>
          <w:p w14:paraId="71265E54" w14:textId="77777777" w:rsidR="004D7210" w:rsidRPr="00E60F31" w:rsidRDefault="004D7210" w:rsidP="005442CF">
            <w:pPr>
              <w:rPr>
                <w:sz w:val="18"/>
                <w:szCs w:val="18"/>
                <w:lang w:val="en-US"/>
              </w:rPr>
            </w:pPr>
            <w:r w:rsidRPr="00E60F31">
              <w:rPr>
                <w:sz w:val="18"/>
                <w:szCs w:val="18"/>
                <w:lang w:val="en-US"/>
              </w:rPr>
              <w:t>n=18</w:t>
            </w:r>
          </w:p>
          <w:p w14:paraId="67FDBF1D" w14:textId="77777777" w:rsidR="004D7210" w:rsidRPr="00E60F31" w:rsidRDefault="004D7210" w:rsidP="005442CF">
            <w:pPr>
              <w:rPr>
                <w:sz w:val="18"/>
                <w:szCs w:val="18"/>
                <w:lang w:val="en-US"/>
              </w:rPr>
            </w:pPr>
            <w:proofErr w:type="spellStart"/>
            <w:r w:rsidRPr="00E60F31">
              <w:rPr>
                <w:sz w:val="18"/>
                <w:szCs w:val="18"/>
                <w:lang w:val="en-US"/>
              </w:rPr>
              <w:t>Moulding</w:t>
            </w:r>
            <w:proofErr w:type="spellEnd"/>
            <w:r w:rsidRPr="00E60F31">
              <w:rPr>
                <w:sz w:val="18"/>
                <w:szCs w:val="18"/>
                <w:lang w:val="en-US"/>
              </w:rPr>
              <w:t xml:space="preserve"> processes</w:t>
            </w:r>
          </w:p>
        </w:tc>
        <w:tc>
          <w:tcPr>
            <w:tcW w:w="1388" w:type="dxa"/>
          </w:tcPr>
          <w:p w14:paraId="0C99AC75" w14:textId="77777777" w:rsidR="004D7210" w:rsidRPr="00E60F31" w:rsidRDefault="004D7210" w:rsidP="005442CF">
            <w:pPr>
              <w:rPr>
                <w:sz w:val="18"/>
                <w:szCs w:val="18"/>
                <w:lang w:val="en-US"/>
              </w:rPr>
            </w:pPr>
            <w:r w:rsidRPr="00E60F31">
              <w:rPr>
                <w:sz w:val="18"/>
                <w:szCs w:val="18"/>
                <w:lang w:val="en-US"/>
              </w:rPr>
              <w:t xml:space="preserve">8-hr average (median time for sampling 6.7 </w:t>
            </w:r>
            <w:proofErr w:type="spellStart"/>
            <w:r w:rsidRPr="00E60F31">
              <w:rPr>
                <w:sz w:val="18"/>
                <w:szCs w:val="18"/>
                <w:lang w:val="en-US"/>
              </w:rPr>
              <w:t>hr</w:t>
            </w:r>
            <w:proofErr w:type="spellEnd"/>
            <w:r w:rsidRPr="00E60F31">
              <w:rPr>
                <w:sz w:val="18"/>
                <w:szCs w:val="18"/>
                <w:lang w:val="en-US"/>
              </w:rPr>
              <w:t>)</w:t>
            </w:r>
          </w:p>
        </w:tc>
        <w:tc>
          <w:tcPr>
            <w:tcW w:w="1134" w:type="dxa"/>
          </w:tcPr>
          <w:p w14:paraId="7E79ADB6" w14:textId="77777777" w:rsidR="004D7210" w:rsidRPr="00E60F31" w:rsidRDefault="004D7210" w:rsidP="005442CF">
            <w:pPr>
              <w:rPr>
                <w:sz w:val="18"/>
                <w:szCs w:val="18"/>
                <w:lang w:val="en-US"/>
              </w:rPr>
            </w:pPr>
            <w:r w:rsidRPr="00E60F31">
              <w:rPr>
                <w:sz w:val="18"/>
                <w:szCs w:val="18"/>
                <w:lang w:val="en-US"/>
              </w:rPr>
              <w:t>No information</w:t>
            </w:r>
          </w:p>
        </w:tc>
        <w:tc>
          <w:tcPr>
            <w:tcW w:w="1559" w:type="dxa"/>
          </w:tcPr>
          <w:p w14:paraId="1D0A1B93" w14:textId="77777777" w:rsidR="004D7210" w:rsidRPr="00E60F31" w:rsidRDefault="004D7210" w:rsidP="005442CF">
            <w:pPr>
              <w:autoSpaceDE w:val="0"/>
              <w:autoSpaceDN w:val="0"/>
              <w:adjustRightInd w:val="0"/>
              <w:rPr>
                <w:rFonts w:ascii="AdvTimes" w:hAnsi="AdvTimes" w:cs="AdvTimes"/>
                <w:sz w:val="18"/>
                <w:szCs w:val="18"/>
                <w:lang w:val="en-US"/>
              </w:rPr>
            </w:pPr>
            <w:r w:rsidRPr="00E60F31">
              <w:rPr>
                <w:rFonts w:ascii="AdvTimes" w:hAnsi="AdvTimes" w:cs="AdvTimes"/>
                <w:sz w:val="18"/>
                <w:szCs w:val="18"/>
                <w:lang w:val="en-US"/>
              </w:rPr>
              <w:t>When respiratory PPE were used the air sampling was paused, thus assuming zero exposure during periods</w:t>
            </w:r>
          </w:p>
          <w:p w14:paraId="27D0A501" w14:textId="77777777" w:rsidR="004D7210" w:rsidRPr="00E60F31" w:rsidRDefault="004D7210" w:rsidP="005442CF">
            <w:pPr>
              <w:rPr>
                <w:sz w:val="18"/>
                <w:szCs w:val="18"/>
                <w:lang w:val="en-US"/>
              </w:rPr>
            </w:pPr>
            <w:r w:rsidRPr="006D20E6">
              <w:rPr>
                <w:rFonts w:ascii="AdvTimes" w:hAnsi="AdvTimes" w:cs="AdvTimes"/>
                <w:sz w:val="18"/>
                <w:szCs w:val="18"/>
                <w:lang w:val="en-GB"/>
              </w:rPr>
              <w:t>when PPE was used.</w:t>
            </w:r>
          </w:p>
        </w:tc>
        <w:tc>
          <w:tcPr>
            <w:tcW w:w="1701" w:type="dxa"/>
          </w:tcPr>
          <w:p w14:paraId="0A56DF99" w14:textId="77777777" w:rsidR="004D7210" w:rsidRPr="00E60F31" w:rsidRDefault="004D7210" w:rsidP="005442CF">
            <w:pPr>
              <w:rPr>
                <w:sz w:val="18"/>
                <w:szCs w:val="18"/>
                <w:lang w:val="en-US"/>
              </w:rPr>
            </w:pPr>
            <w:r w:rsidRPr="00E60F31">
              <w:rPr>
                <w:sz w:val="18"/>
                <w:szCs w:val="18"/>
                <w:lang w:val="en-US"/>
              </w:rPr>
              <w:t>Workers were (potentially) also exposed to NDI</w:t>
            </w:r>
          </w:p>
        </w:tc>
        <w:tc>
          <w:tcPr>
            <w:tcW w:w="1676" w:type="dxa"/>
          </w:tcPr>
          <w:p w14:paraId="41CCA7F4" w14:textId="77777777" w:rsidR="004D7210" w:rsidRPr="00E60F31" w:rsidRDefault="004D7210" w:rsidP="005442CF">
            <w:pPr>
              <w:rPr>
                <w:sz w:val="18"/>
                <w:szCs w:val="18"/>
                <w:lang w:val="en-US"/>
              </w:rPr>
            </w:pPr>
            <w:proofErr w:type="spellStart"/>
            <w:r w:rsidRPr="00E60F31">
              <w:rPr>
                <w:sz w:val="18"/>
                <w:szCs w:val="18"/>
                <w:lang w:val="en-US"/>
              </w:rPr>
              <w:t>hydrolysed</w:t>
            </w:r>
            <w:proofErr w:type="spellEnd"/>
            <w:r w:rsidRPr="00E60F31">
              <w:rPr>
                <w:sz w:val="18"/>
                <w:szCs w:val="18"/>
                <w:lang w:val="en-US"/>
              </w:rPr>
              <w:t xml:space="preserve"> for 24 </w:t>
            </w:r>
            <w:proofErr w:type="spellStart"/>
            <w:r w:rsidRPr="00E60F31">
              <w:rPr>
                <w:sz w:val="18"/>
                <w:szCs w:val="18"/>
                <w:lang w:val="en-US"/>
              </w:rPr>
              <w:t>hr</w:t>
            </w:r>
            <w:proofErr w:type="spellEnd"/>
            <w:r w:rsidRPr="00E60F31">
              <w:rPr>
                <w:sz w:val="18"/>
                <w:szCs w:val="18"/>
                <w:lang w:val="en-US"/>
              </w:rPr>
              <w:t xml:space="preserve"> in 0.3 M NaOH</w:t>
            </w:r>
          </w:p>
        </w:tc>
        <w:tc>
          <w:tcPr>
            <w:tcW w:w="1313" w:type="dxa"/>
          </w:tcPr>
          <w:p w14:paraId="63541E65" w14:textId="77777777" w:rsidR="004D7210" w:rsidRPr="00E60F31" w:rsidRDefault="004D7210" w:rsidP="005442CF">
            <w:pPr>
              <w:rPr>
                <w:sz w:val="18"/>
                <w:szCs w:val="18"/>
                <w:lang w:val="en-US"/>
              </w:rPr>
            </w:pPr>
            <w:r w:rsidRPr="00E60F31">
              <w:rPr>
                <w:sz w:val="18"/>
                <w:szCs w:val="18"/>
                <w:lang w:val="en-US"/>
              </w:rPr>
              <w:t>0.2 ug/m3 (median)</w:t>
            </w:r>
          </w:p>
          <w:p w14:paraId="2D1EF1F8" w14:textId="77777777" w:rsidR="004D7210" w:rsidRPr="00E60F31" w:rsidRDefault="004D7210" w:rsidP="005442CF">
            <w:pPr>
              <w:rPr>
                <w:sz w:val="18"/>
                <w:szCs w:val="18"/>
                <w:lang w:val="en-US"/>
              </w:rPr>
            </w:pPr>
            <w:r w:rsidRPr="00E60F31">
              <w:rPr>
                <w:sz w:val="18"/>
                <w:szCs w:val="18"/>
                <w:lang w:val="en-US"/>
              </w:rPr>
              <w:t>Range: 0.03 – 7.8 ug/m3</w:t>
            </w:r>
          </w:p>
          <w:p w14:paraId="17357271" w14:textId="77777777" w:rsidR="004D7210" w:rsidRPr="00E60F31" w:rsidRDefault="004D7210" w:rsidP="005442CF">
            <w:pPr>
              <w:rPr>
                <w:sz w:val="18"/>
                <w:szCs w:val="18"/>
                <w:lang w:val="en-US"/>
              </w:rPr>
            </w:pPr>
          </w:p>
          <w:p w14:paraId="78740721" w14:textId="77777777" w:rsidR="004D7210" w:rsidRPr="00E60F31" w:rsidRDefault="004D7210" w:rsidP="005442CF">
            <w:pPr>
              <w:rPr>
                <w:sz w:val="18"/>
                <w:szCs w:val="18"/>
                <w:lang w:val="en-US"/>
              </w:rPr>
            </w:pPr>
          </w:p>
          <w:p w14:paraId="16427207" w14:textId="77777777" w:rsidR="004D7210" w:rsidRPr="00E60F31" w:rsidRDefault="004D7210" w:rsidP="005442CF">
            <w:pPr>
              <w:rPr>
                <w:sz w:val="18"/>
                <w:szCs w:val="18"/>
                <w:lang w:val="en-US"/>
              </w:rPr>
            </w:pPr>
          </w:p>
          <w:p w14:paraId="0E1D45E5" w14:textId="77777777" w:rsidR="004D7210" w:rsidRPr="00E60F31" w:rsidRDefault="004D7210" w:rsidP="005442CF">
            <w:pPr>
              <w:rPr>
                <w:sz w:val="18"/>
                <w:szCs w:val="18"/>
                <w:lang w:val="en-US"/>
              </w:rPr>
            </w:pPr>
          </w:p>
          <w:p w14:paraId="140F2362" w14:textId="77777777" w:rsidR="004D7210" w:rsidRPr="00E60F31" w:rsidRDefault="004D7210" w:rsidP="005442CF">
            <w:pPr>
              <w:rPr>
                <w:sz w:val="18"/>
                <w:szCs w:val="18"/>
                <w:lang w:val="en-US"/>
              </w:rPr>
            </w:pPr>
          </w:p>
          <w:p w14:paraId="23CD1B21" w14:textId="77777777" w:rsidR="004D7210" w:rsidRPr="00E60F31" w:rsidRDefault="004D7210" w:rsidP="005442CF">
            <w:pPr>
              <w:jc w:val="center"/>
              <w:rPr>
                <w:sz w:val="18"/>
                <w:szCs w:val="18"/>
                <w:lang w:val="en-US"/>
              </w:rPr>
            </w:pPr>
          </w:p>
        </w:tc>
        <w:tc>
          <w:tcPr>
            <w:tcW w:w="1976" w:type="dxa"/>
          </w:tcPr>
          <w:p w14:paraId="0E968121" w14:textId="77777777" w:rsidR="004D7210" w:rsidRPr="00E60F31" w:rsidRDefault="004D7210" w:rsidP="005442CF">
            <w:pPr>
              <w:rPr>
                <w:sz w:val="18"/>
                <w:szCs w:val="18"/>
                <w:lang w:val="en-US"/>
              </w:rPr>
            </w:pPr>
            <w:r w:rsidRPr="00E60F31">
              <w:rPr>
                <w:sz w:val="18"/>
                <w:szCs w:val="18"/>
                <w:lang w:val="en-US"/>
              </w:rPr>
              <w:t>2 ug/L (median)</w:t>
            </w:r>
          </w:p>
          <w:p w14:paraId="3EE4950C" w14:textId="77777777" w:rsidR="004D7210" w:rsidRPr="00E60F31" w:rsidRDefault="004D7210" w:rsidP="005442CF">
            <w:pPr>
              <w:rPr>
                <w:sz w:val="18"/>
                <w:szCs w:val="18"/>
                <w:lang w:val="en-US"/>
              </w:rPr>
            </w:pPr>
            <w:r w:rsidRPr="00E60F31">
              <w:rPr>
                <w:sz w:val="18"/>
                <w:szCs w:val="18"/>
                <w:lang w:val="en-US"/>
              </w:rPr>
              <w:t>Range: 0.4 - 38</w:t>
            </w:r>
          </w:p>
        </w:tc>
        <w:tc>
          <w:tcPr>
            <w:tcW w:w="1414" w:type="dxa"/>
          </w:tcPr>
          <w:p w14:paraId="6236C0D4" w14:textId="5C475DC8" w:rsidR="004D7210" w:rsidRPr="00D01C6A" w:rsidRDefault="006D20E6" w:rsidP="005442CF">
            <w:pPr>
              <w:rPr>
                <w:sz w:val="18"/>
                <w:szCs w:val="18"/>
              </w:rPr>
            </w:pPr>
            <w:r>
              <w:rPr>
                <w:sz w:val="18"/>
                <w:szCs w:val="18"/>
                <w:lang w:val="en-GB"/>
              </w:rPr>
              <w:fldChar w:fldCharType="begin" w:fldLock="1"/>
            </w:r>
            <w:r w:rsidRPr="00EE2AEF">
              <w:rPr>
                <w:sz w:val="18"/>
                <w:szCs w:val="18"/>
              </w:rPr>
              <w:instrText>ADDIN CSL_CITATION {"citationItems":[{"id":"ITEM-1","itemData":{"DOI":"10.1007/S00420-006-0096-5/FIGURES/2","ISSN":"03400131","PMID":"16506043","abstract":"Objectives: Biological monitoring of occupational sensitizers, such as 1,5-naphthalene diisocyanate (NDI) and 4,4'-methylenediphenyl diisocyanate (MDI) is of high importance. In this study, 1,5-naphthalenediamine (NDA) and 4,4'-methylenedianiline (MDA) in hydrolysed urine and plasma were evaluated as biomarkers of exposure to NDI and MDI, respectively. Methods: The air exposure to NDI and MDI was monitored for 30 exposed workers at four different plants. In parallel, urinary as well as blood plasma samples were collected. Biomarker levels were determined in hydrolysed urine and plasma by means of gas chromatography-mass spectrometry. Results: Air exposure to both MDI and NDI was correlated to their corresponding urinary and plasma biomarkers. The correlation coefficients for the associations between air and biomarker levels were in the range of 0.51-0.65 and 0.53-0.96 for MDI and NDI, respectively. For NDI, but not for MDI, the s</w:instrText>
            </w:r>
            <w:r w:rsidRPr="00D01C6A">
              <w:rPr>
                <w:sz w:val="18"/>
                <w:szCs w:val="18"/>
              </w:rPr>
              <w:instrText>ignificance and correlation coefficients were increased by adjusting the urinary biomarker levels for creatinine content or density. Conclusions: Biomarker and air levels of MDI and ND I were correlated, but there was a large individual variation. © Springer-Verlag 2006.","author":[{"dropping-particle":"","family":"Sennbro","given":"C. J.","non-dropping-particle":"","parse-names":false,"suffix":""},{"dropping-particle":"","family":"Lindh","given":"C. H.","non-dropping-particle":"","parse-names":false,"suffix":""},{"dropping-particle":"","family":"Mattsson","given":"C.","non-dropping-particle":"","parse-names":false,"suffix":""},{"dropping-particle":"","family":"Jönsson","given":"B. A.G.","non-dropping-particle":"","parse-names":false,"suffix":""},{"dropping-particle":"","family":"Tinnerberg","given":"H.","non-dropping-particle":"","parse-names":false,"suffix":""}],"container-title":"International Archives of Occupational and Environmental Health","id":"ITEM-1","issue":"8","issued":{"date-parts":[["2006","9","28"]]},"page":"647-653","publisher":"Springer","title":"Biological monitoring of exposure to 1,5-naphthalene diisocyanate and 4,4′-methylenediphenyl diisocyanate","type":"article-journal","volume":"79"},"uris":["http://www.mendeley.com/documents/?uuid=439a6fcc-b6ec-38b2-bd1e-5fbc5b699164"]}],"mendeley":{"formattedCitation":"(C. J. Sennbro et al. 2006)","plainTextFormattedCitation":"(C. J. Sennbro et al. 2006)","previouslyFormattedCitation":"(C. J. Sennbro et al. 2006)"},"properties":{"noteIndex":0},"schema":"https://github.com/citation-style-language/schema/raw/master/csl-citation.json"}</w:instrText>
            </w:r>
            <w:r>
              <w:rPr>
                <w:sz w:val="18"/>
                <w:szCs w:val="18"/>
                <w:lang w:val="en-GB"/>
              </w:rPr>
              <w:fldChar w:fldCharType="separate"/>
            </w:r>
            <w:r w:rsidRPr="00D01C6A">
              <w:rPr>
                <w:noProof/>
                <w:sz w:val="18"/>
                <w:szCs w:val="18"/>
              </w:rPr>
              <w:t>(C. J. Sennbro et al. 2006)</w:t>
            </w:r>
            <w:r>
              <w:rPr>
                <w:sz w:val="18"/>
                <w:szCs w:val="18"/>
                <w:lang w:val="en-GB"/>
              </w:rPr>
              <w:fldChar w:fldCharType="end"/>
            </w:r>
          </w:p>
        </w:tc>
      </w:tr>
      <w:tr w:rsidR="006D20E6" w:rsidRPr="00EE2AEF" w14:paraId="22F5E88B" w14:textId="77777777" w:rsidTr="005442CF">
        <w:tc>
          <w:tcPr>
            <w:tcW w:w="1301" w:type="dxa"/>
            <w:shd w:val="clear" w:color="auto" w:fill="auto"/>
          </w:tcPr>
          <w:p w14:paraId="64937235" w14:textId="77777777" w:rsidR="004D7210" w:rsidRPr="00E60F31" w:rsidRDefault="004D7210" w:rsidP="005442CF">
            <w:pPr>
              <w:rPr>
                <w:sz w:val="18"/>
                <w:szCs w:val="18"/>
                <w:lang w:val="en-US"/>
              </w:rPr>
            </w:pPr>
            <w:r w:rsidRPr="00E60F31">
              <w:rPr>
                <w:sz w:val="18"/>
                <w:szCs w:val="18"/>
                <w:lang w:val="en-US"/>
              </w:rPr>
              <w:t>Boat building industry, Construction work, production of prefabricated units</w:t>
            </w:r>
          </w:p>
          <w:p w14:paraId="0791565D" w14:textId="77777777" w:rsidR="004D7210" w:rsidRPr="00E60F31" w:rsidRDefault="004D7210" w:rsidP="005442CF">
            <w:pPr>
              <w:rPr>
                <w:sz w:val="18"/>
                <w:szCs w:val="18"/>
                <w:lang w:val="en-US"/>
              </w:rPr>
            </w:pPr>
            <w:r w:rsidRPr="00E60F31">
              <w:rPr>
                <w:sz w:val="18"/>
                <w:szCs w:val="18"/>
                <w:lang w:val="en-US"/>
              </w:rPr>
              <w:t>n=24</w:t>
            </w:r>
          </w:p>
        </w:tc>
        <w:tc>
          <w:tcPr>
            <w:tcW w:w="1388" w:type="dxa"/>
            <w:shd w:val="clear" w:color="auto" w:fill="auto"/>
          </w:tcPr>
          <w:p w14:paraId="6DAAF1F8" w14:textId="77777777" w:rsidR="004D7210" w:rsidRPr="00E60F31" w:rsidRDefault="004D7210" w:rsidP="005442CF">
            <w:pPr>
              <w:rPr>
                <w:sz w:val="18"/>
                <w:szCs w:val="18"/>
                <w:lang w:val="en-US"/>
              </w:rPr>
            </w:pPr>
            <w:r w:rsidRPr="00E60F31">
              <w:rPr>
                <w:sz w:val="18"/>
                <w:szCs w:val="18"/>
                <w:lang w:val="en-US"/>
              </w:rPr>
              <w:t xml:space="preserve">Inhalation exposure measured in hood during exposing work </w:t>
            </w:r>
          </w:p>
          <w:p w14:paraId="52119C2C" w14:textId="77777777" w:rsidR="004D7210" w:rsidRPr="00E60F31" w:rsidRDefault="004D7210" w:rsidP="005442CF">
            <w:pPr>
              <w:rPr>
                <w:sz w:val="18"/>
                <w:szCs w:val="18"/>
                <w:lang w:val="en-US"/>
              </w:rPr>
            </w:pPr>
          </w:p>
          <w:p w14:paraId="08A11F2D" w14:textId="77777777" w:rsidR="004D7210" w:rsidRPr="00E60F31" w:rsidRDefault="004D7210" w:rsidP="005442CF">
            <w:pPr>
              <w:rPr>
                <w:sz w:val="18"/>
                <w:szCs w:val="18"/>
                <w:lang w:val="en-US"/>
              </w:rPr>
            </w:pPr>
            <w:r w:rsidRPr="00E60F31">
              <w:rPr>
                <w:sz w:val="18"/>
                <w:szCs w:val="18"/>
                <w:lang w:val="en-US"/>
              </w:rPr>
              <w:t xml:space="preserve">For inhalation exposure: the sampling lasted around 15 – 60 min for each batch, and each batch was </w:t>
            </w:r>
            <w:r w:rsidRPr="00E60F31">
              <w:rPr>
                <w:sz w:val="18"/>
                <w:szCs w:val="18"/>
                <w:lang w:val="en-US"/>
              </w:rPr>
              <w:lastRenderedPageBreak/>
              <w:t>repeated 2 – 20 times per shift</w:t>
            </w:r>
          </w:p>
          <w:p w14:paraId="2835B700" w14:textId="77777777" w:rsidR="004D7210" w:rsidRPr="00E60F31" w:rsidRDefault="004D7210" w:rsidP="005442CF">
            <w:pPr>
              <w:rPr>
                <w:sz w:val="18"/>
                <w:szCs w:val="18"/>
                <w:lang w:val="en-US"/>
              </w:rPr>
            </w:pPr>
          </w:p>
        </w:tc>
        <w:tc>
          <w:tcPr>
            <w:tcW w:w="1134" w:type="dxa"/>
            <w:shd w:val="clear" w:color="auto" w:fill="auto"/>
          </w:tcPr>
          <w:p w14:paraId="2FBA3093" w14:textId="77777777" w:rsidR="004D7210" w:rsidRPr="00E60F31" w:rsidRDefault="004D7210" w:rsidP="005442CF">
            <w:pPr>
              <w:rPr>
                <w:sz w:val="18"/>
                <w:szCs w:val="18"/>
                <w:lang w:val="en-US"/>
              </w:rPr>
            </w:pPr>
          </w:p>
          <w:p w14:paraId="14E64C60" w14:textId="77777777" w:rsidR="004D7210" w:rsidRPr="00E60F31" w:rsidRDefault="004D7210" w:rsidP="005442CF">
            <w:pPr>
              <w:rPr>
                <w:sz w:val="18"/>
                <w:szCs w:val="18"/>
                <w:lang w:val="en-US"/>
              </w:rPr>
            </w:pPr>
          </w:p>
        </w:tc>
        <w:tc>
          <w:tcPr>
            <w:tcW w:w="1559" w:type="dxa"/>
            <w:shd w:val="clear" w:color="auto" w:fill="auto"/>
          </w:tcPr>
          <w:p w14:paraId="620CB19A" w14:textId="77777777" w:rsidR="004D7210" w:rsidRPr="00E60F31" w:rsidRDefault="004D7210" w:rsidP="005442CF">
            <w:pPr>
              <w:rPr>
                <w:sz w:val="18"/>
                <w:szCs w:val="18"/>
                <w:lang w:val="en-US"/>
              </w:rPr>
            </w:pPr>
            <w:r w:rsidRPr="00E60F31">
              <w:rPr>
                <w:sz w:val="18"/>
                <w:szCs w:val="18"/>
                <w:lang w:val="en-US"/>
              </w:rPr>
              <w:t xml:space="preserve">RPE was used </w:t>
            </w:r>
            <w:proofErr w:type="gramStart"/>
            <w:r w:rsidRPr="00E60F31">
              <w:rPr>
                <w:sz w:val="18"/>
                <w:szCs w:val="18"/>
                <w:lang w:val="en-US"/>
              </w:rPr>
              <w:t>in</w:t>
            </w:r>
            <w:proofErr w:type="gramEnd"/>
            <w:r w:rsidRPr="00E60F31">
              <w:rPr>
                <w:sz w:val="18"/>
                <w:szCs w:val="18"/>
                <w:lang w:val="en-US"/>
              </w:rPr>
              <w:t xml:space="preserve"> some occasions (we extracted data for the group not using respiratory protection)</w:t>
            </w:r>
          </w:p>
        </w:tc>
        <w:tc>
          <w:tcPr>
            <w:tcW w:w="1701" w:type="dxa"/>
            <w:shd w:val="clear" w:color="auto" w:fill="auto"/>
          </w:tcPr>
          <w:p w14:paraId="1C0639AA" w14:textId="77777777" w:rsidR="004D7210" w:rsidRPr="00E60F31" w:rsidRDefault="004D7210" w:rsidP="005442CF">
            <w:pPr>
              <w:rPr>
                <w:sz w:val="18"/>
                <w:szCs w:val="18"/>
                <w:lang w:val="en-US"/>
              </w:rPr>
            </w:pPr>
            <w:r w:rsidRPr="00E60F31">
              <w:rPr>
                <w:sz w:val="18"/>
                <w:szCs w:val="18"/>
                <w:lang w:val="en-US"/>
              </w:rPr>
              <w:t>Dermal exposure measured by using tape-stripping method</w:t>
            </w:r>
          </w:p>
          <w:p w14:paraId="35DEE4A2" w14:textId="77777777" w:rsidR="004D7210" w:rsidRPr="00E60F31" w:rsidRDefault="004D7210" w:rsidP="005442CF">
            <w:pPr>
              <w:rPr>
                <w:sz w:val="18"/>
                <w:szCs w:val="18"/>
                <w:lang w:val="en-US"/>
              </w:rPr>
            </w:pPr>
          </w:p>
        </w:tc>
        <w:tc>
          <w:tcPr>
            <w:tcW w:w="1676" w:type="dxa"/>
            <w:shd w:val="clear" w:color="auto" w:fill="auto"/>
          </w:tcPr>
          <w:p w14:paraId="42F5E555" w14:textId="77777777" w:rsidR="004D7210" w:rsidRPr="00E60F31" w:rsidRDefault="004D7210" w:rsidP="005442CF">
            <w:pPr>
              <w:rPr>
                <w:sz w:val="18"/>
                <w:szCs w:val="18"/>
                <w:lang w:val="en-US"/>
              </w:rPr>
            </w:pPr>
          </w:p>
        </w:tc>
        <w:tc>
          <w:tcPr>
            <w:tcW w:w="1313" w:type="dxa"/>
            <w:shd w:val="clear" w:color="auto" w:fill="auto"/>
          </w:tcPr>
          <w:p w14:paraId="6E6BB67B" w14:textId="77777777" w:rsidR="004D7210" w:rsidRPr="00E60F31" w:rsidRDefault="004D7210" w:rsidP="005442CF">
            <w:pPr>
              <w:rPr>
                <w:sz w:val="18"/>
                <w:szCs w:val="18"/>
                <w:lang w:val="en-US"/>
              </w:rPr>
            </w:pPr>
            <w:r w:rsidRPr="00E60F31">
              <w:rPr>
                <w:sz w:val="18"/>
                <w:szCs w:val="18"/>
                <w:lang w:val="en-US"/>
              </w:rPr>
              <w:t xml:space="preserve">Inhalation: </w:t>
            </w:r>
            <w:proofErr w:type="gramStart"/>
            <w:r w:rsidRPr="00E60F31">
              <w:rPr>
                <w:sz w:val="18"/>
                <w:szCs w:val="18"/>
                <w:lang w:val="en-US"/>
              </w:rPr>
              <w:t>0.08  -</w:t>
            </w:r>
            <w:proofErr w:type="gramEnd"/>
            <w:r w:rsidRPr="00E60F31">
              <w:rPr>
                <w:sz w:val="18"/>
                <w:szCs w:val="18"/>
                <w:lang w:val="en-US"/>
              </w:rPr>
              <w:t xml:space="preserve"> 0.8 ug/m3 (without RPE) (average would then be ~ 0.44 ug/m3)</w:t>
            </w:r>
          </w:p>
          <w:p w14:paraId="35448D43" w14:textId="77777777" w:rsidR="004D7210" w:rsidRPr="00E60F31" w:rsidRDefault="004D7210" w:rsidP="005442CF">
            <w:pPr>
              <w:rPr>
                <w:sz w:val="18"/>
                <w:szCs w:val="18"/>
                <w:lang w:val="en-US"/>
              </w:rPr>
            </w:pPr>
          </w:p>
          <w:p w14:paraId="21EC117E" w14:textId="77777777" w:rsidR="004D7210" w:rsidRPr="00E60F31" w:rsidRDefault="004D7210" w:rsidP="005442CF">
            <w:pPr>
              <w:rPr>
                <w:sz w:val="18"/>
                <w:szCs w:val="18"/>
                <w:lang w:val="en-US"/>
              </w:rPr>
            </w:pPr>
            <w:r w:rsidRPr="00E60F31">
              <w:rPr>
                <w:sz w:val="18"/>
                <w:szCs w:val="18"/>
                <w:lang w:val="en-US"/>
              </w:rPr>
              <w:t xml:space="preserve">the use of a powered hood reduced the inhalable </w:t>
            </w:r>
            <w:r w:rsidRPr="00E60F31">
              <w:rPr>
                <w:sz w:val="18"/>
                <w:szCs w:val="18"/>
                <w:lang w:val="en-US"/>
              </w:rPr>
              <w:lastRenderedPageBreak/>
              <w:t>concentration of MDI by 60%</w:t>
            </w:r>
          </w:p>
          <w:p w14:paraId="7867D38E" w14:textId="77777777" w:rsidR="004D7210" w:rsidRPr="00E60F31" w:rsidRDefault="004D7210" w:rsidP="005442CF">
            <w:pPr>
              <w:rPr>
                <w:sz w:val="18"/>
                <w:szCs w:val="18"/>
                <w:lang w:val="en-US"/>
              </w:rPr>
            </w:pPr>
          </w:p>
          <w:p w14:paraId="422BE50C" w14:textId="77777777" w:rsidR="004D7210" w:rsidRPr="00E60F31" w:rsidRDefault="004D7210" w:rsidP="005442CF">
            <w:pPr>
              <w:rPr>
                <w:sz w:val="18"/>
                <w:szCs w:val="18"/>
                <w:lang w:val="en-US"/>
              </w:rPr>
            </w:pPr>
            <w:r w:rsidRPr="00E60F31">
              <w:rPr>
                <w:sz w:val="18"/>
                <w:szCs w:val="18"/>
                <w:lang w:val="en-US"/>
              </w:rPr>
              <w:t>The medians of the amounts of MDI on the skin of the workers using chemical protective gloves were</w:t>
            </w:r>
          </w:p>
          <w:p w14:paraId="28FEDDF2" w14:textId="77777777" w:rsidR="004D7210" w:rsidRPr="00E60F31" w:rsidRDefault="004D7210" w:rsidP="005442CF">
            <w:pPr>
              <w:rPr>
                <w:sz w:val="18"/>
                <w:szCs w:val="18"/>
                <w:lang w:val="en-US"/>
              </w:rPr>
            </w:pPr>
            <w:r w:rsidRPr="00E60F31">
              <w:rPr>
                <w:sz w:val="18"/>
                <w:szCs w:val="18"/>
                <w:lang w:val="en-US"/>
              </w:rPr>
              <w:t>below 0.1 ug/10 cm2.</w:t>
            </w:r>
          </w:p>
        </w:tc>
        <w:tc>
          <w:tcPr>
            <w:tcW w:w="1976" w:type="dxa"/>
            <w:shd w:val="clear" w:color="auto" w:fill="auto"/>
          </w:tcPr>
          <w:p w14:paraId="5495458F" w14:textId="77777777" w:rsidR="004D7210" w:rsidRPr="00E60F31" w:rsidRDefault="004D7210" w:rsidP="005442CF">
            <w:pPr>
              <w:rPr>
                <w:sz w:val="18"/>
                <w:szCs w:val="18"/>
                <w:lang w:val="en-US"/>
              </w:rPr>
            </w:pPr>
            <w:r w:rsidRPr="00E60F31">
              <w:rPr>
                <w:sz w:val="18"/>
                <w:szCs w:val="18"/>
                <w:lang w:val="en-US"/>
              </w:rPr>
              <w:lastRenderedPageBreak/>
              <w:t xml:space="preserve">Range of 0.1– 0.2 </w:t>
            </w:r>
            <w:proofErr w:type="spellStart"/>
            <w:r w:rsidRPr="00E60F31">
              <w:rPr>
                <w:sz w:val="18"/>
                <w:szCs w:val="18"/>
                <w:lang w:val="en-US"/>
              </w:rPr>
              <w:t>umol</w:t>
            </w:r>
            <w:proofErr w:type="spellEnd"/>
            <w:r w:rsidRPr="00E60F31">
              <w:rPr>
                <w:sz w:val="18"/>
                <w:szCs w:val="18"/>
                <w:lang w:val="en-US"/>
              </w:rPr>
              <w:t>/mol creatinine</w:t>
            </w:r>
          </w:p>
          <w:p w14:paraId="7D9A6513" w14:textId="77777777" w:rsidR="004D7210" w:rsidRPr="00E60F31" w:rsidRDefault="004D7210" w:rsidP="005442CF">
            <w:pPr>
              <w:rPr>
                <w:sz w:val="18"/>
                <w:szCs w:val="18"/>
                <w:lang w:val="en-US"/>
              </w:rPr>
            </w:pPr>
          </w:p>
          <w:p w14:paraId="272479D9" w14:textId="77777777" w:rsidR="004D7210" w:rsidRPr="00E60F31" w:rsidRDefault="004D7210" w:rsidP="005442CF">
            <w:pPr>
              <w:rPr>
                <w:sz w:val="18"/>
                <w:szCs w:val="18"/>
                <w:lang w:val="en-US"/>
              </w:rPr>
            </w:pPr>
            <w:r w:rsidRPr="00E60F31">
              <w:rPr>
                <w:sz w:val="18"/>
                <w:szCs w:val="18"/>
                <w:lang w:val="en-US"/>
              </w:rPr>
              <w:t>(Based on a figure, it is 0.17 when no RPE is used)</w:t>
            </w:r>
          </w:p>
        </w:tc>
        <w:tc>
          <w:tcPr>
            <w:tcW w:w="1414" w:type="dxa"/>
            <w:shd w:val="clear" w:color="auto" w:fill="auto"/>
          </w:tcPr>
          <w:p w14:paraId="3D633BB2" w14:textId="037B4037" w:rsidR="004D7210" w:rsidRPr="006D20E6" w:rsidRDefault="006D20E6" w:rsidP="005442CF">
            <w:pPr>
              <w:rPr>
                <w:sz w:val="18"/>
                <w:szCs w:val="18"/>
                <w:lang w:val="en-GB"/>
              </w:rPr>
            </w:pPr>
            <w:r>
              <w:rPr>
                <w:sz w:val="18"/>
                <w:szCs w:val="18"/>
                <w:lang w:val="en-GB"/>
              </w:rPr>
              <w:fldChar w:fldCharType="begin" w:fldLock="1"/>
            </w:r>
            <w:r>
              <w:rPr>
                <w:sz w:val="18"/>
                <w:szCs w:val="18"/>
                <w:lang w:val="en-GB"/>
              </w:rPr>
              <w:instrText>ADDIN CSL_CITATION {"citationItems":[{"id":"ITEM-1","itemData":{"DOI":"10.1016/J.TOXLET.2014.12.012","ISSN":"0378-4274","PMID":"25542146","abstract":"The causal relationship between inhalation exposure to methylenediphenyl diisocyanate (MDI) and the risk of occupational asthma is well known, but the role of dermal exposure and dermal uptake of MDI in this process is still unclear. The aims of this study were to measure dermal exposure to and the dermal uptake of MDI among workers (n=24) who regularly handle MDI-urethanes. Dermal exposure was measured by the tape-strip technique from four sites on the dominant hand and arm. The workers with the highest exposure (n=5) were biomonitored immediately after their work shift, in the evening and the next morning, using urinary 4,4 Dmethylenedianiline (MDA) as a marker. Dermal uptake was evaluated by comparing workers' MDA excretions both when they were equipped with respiratory protective devices (RPDs) and when they did not use them. The measured amounts of MDI on their hands varied from below 0.1 to 17μg/10cm2 during the test. MDI concentrations were in the range of 0.08 to 27μgm-3 in the breathing zone outside the RPDs. MDA concentrations varied from 0.1 to 0.2μmolmol-1 creatinine during the test period. The decreasing effect of RPDs on inhalation exposure was absent in the next morning urine samples; this excretion pattern might be an indication of dermal uptake of MDI.","author":[{"dropping-particle":"","family":"Henriks-Eckerman","given":"Maj Len","non-dropping-particle":"","parse-names":false,"suffix":""},{"dropping-particle":"","family":"Mäkelä","given":"Erja A.","non-dropping-particle":"","parse-names":false,"suffix":""},{"dropping-particle":"","family":"Laitinen","given":"Juha","non-dropping-particle":"","parse-names":false,"suffix":""},{"dropping-particle":"","family":"Ylinen","given":"Katriina","non-dropping-particle":"","parse-names":false,"suffix":""},{"dropping-particle":"","family":"Suuronen","given":"Katri","non-dropping-particle":"","parse-names":false,"suffix":""},{"dropping-particle":"","family":"Vuokko","given":"Aki","non-dropping-particle":"","parse-names":false,"suffix":""},{"dropping-particle":"","family":"Sauni","given":"Riitta","non-dropping-particle":"","parse-names":false,"suffix":""}],"container-title":"Toxicology Letters","id":"ITEM-1","issue":"3","issued":{"date-parts":[["2015","2","3"]]},"page":"595-600","publisher":"Elsevier","title":"Role of dermal exposure in systemic intake of methylenediphenyl diisocyanate (MDI) among construction and boat building workers","type":"article-journal","volume":"232"},"uris":["http://www.mendeley.com/documents/?uuid=567a3414-b5a3-34f9-bdc4-765f0e3c0b5a"]}],"mendeley":{"formattedCitation":"(Henriks-Eckerman et al. 2015)","plainTextFormattedCitation":"(Henriks-Eckerman et al. 2015)","previouslyFormattedCitation":"(Henriks-Eckerman et al. 2015)"},"properties":{"noteIndex":0},"schema":"https://github.com/citation-style-language/schema/raw/master/csl-citation.json"}</w:instrText>
            </w:r>
            <w:r>
              <w:rPr>
                <w:sz w:val="18"/>
                <w:szCs w:val="18"/>
                <w:lang w:val="en-GB"/>
              </w:rPr>
              <w:fldChar w:fldCharType="separate"/>
            </w:r>
            <w:r w:rsidRPr="006D20E6">
              <w:rPr>
                <w:noProof/>
                <w:sz w:val="18"/>
                <w:szCs w:val="18"/>
                <w:lang w:val="en-GB"/>
              </w:rPr>
              <w:t>(Henriks-Eckerman et al. 2015)</w:t>
            </w:r>
            <w:r>
              <w:rPr>
                <w:sz w:val="18"/>
                <w:szCs w:val="18"/>
                <w:lang w:val="en-GB"/>
              </w:rPr>
              <w:fldChar w:fldCharType="end"/>
            </w:r>
          </w:p>
        </w:tc>
      </w:tr>
      <w:tr w:rsidR="006D20E6" w:rsidRPr="006D20E6" w14:paraId="53ADAC1D" w14:textId="77777777" w:rsidTr="005442CF">
        <w:tc>
          <w:tcPr>
            <w:tcW w:w="1301" w:type="dxa"/>
            <w:shd w:val="clear" w:color="auto" w:fill="auto"/>
          </w:tcPr>
          <w:p w14:paraId="4EE6DDE8" w14:textId="77777777" w:rsidR="004D7210" w:rsidRDefault="004D7210" w:rsidP="005442CF">
            <w:pPr>
              <w:rPr>
                <w:sz w:val="20"/>
                <w:szCs w:val="20"/>
                <w:lang w:val="en-US"/>
              </w:rPr>
            </w:pPr>
            <w:r>
              <w:rPr>
                <w:sz w:val="20"/>
                <w:szCs w:val="20"/>
                <w:lang w:val="en-US"/>
              </w:rPr>
              <w:t>Sweden</w:t>
            </w:r>
          </w:p>
          <w:p w14:paraId="09DBFD14" w14:textId="77777777" w:rsidR="004D7210" w:rsidRPr="00E60F31" w:rsidRDefault="004D7210" w:rsidP="005442CF">
            <w:pPr>
              <w:rPr>
                <w:sz w:val="18"/>
                <w:szCs w:val="18"/>
                <w:lang w:val="en-US"/>
              </w:rPr>
            </w:pPr>
            <w:r>
              <w:rPr>
                <w:sz w:val="20"/>
                <w:szCs w:val="20"/>
                <w:lang w:val="en-US"/>
              </w:rPr>
              <w:t>N = 24</w:t>
            </w:r>
          </w:p>
        </w:tc>
        <w:tc>
          <w:tcPr>
            <w:tcW w:w="1388" w:type="dxa"/>
            <w:shd w:val="clear" w:color="auto" w:fill="auto"/>
          </w:tcPr>
          <w:p w14:paraId="57889C0A" w14:textId="77777777" w:rsidR="004D7210" w:rsidRPr="00E60F31" w:rsidRDefault="004D7210" w:rsidP="005442CF">
            <w:pPr>
              <w:rPr>
                <w:sz w:val="18"/>
                <w:szCs w:val="18"/>
                <w:lang w:val="en-US"/>
              </w:rPr>
            </w:pPr>
            <w:r w:rsidRPr="0095644F">
              <w:rPr>
                <w:b/>
                <w:bCs/>
                <w:sz w:val="20"/>
                <w:szCs w:val="20"/>
                <w:lang w:val="en-US"/>
              </w:rPr>
              <w:t>Pre-shift levels</w:t>
            </w:r>
          </w:p>
        </w:tc>
        <w:tc>
          <w:tcPr>
            <w:tcW w:w="1134" w:type="dxa"/>
            <w:shd w:val="clear" w:color="auto" w:fill="auto"/>
          </w:tcPr>
          <w:p w14:paraId="2ED7192E" w14:textId="77777777" w:rsidR="004D7210" w:rsidRPr="00E60F31" w:rsidRDefault="004D7210" w:rsidP="005442CF">
            <w:pPr>
              <w:rPr>
                <w:sz w:val="18"/>
                <w:szCs w:val="18"/>
                <w:lang w:val="en-US"/>
              </w:rPr>
            </w:pPr>
          </w:p>
        </w:tc>
        <w:tc>
          <w:tcPr>
            <w:tcW w:w="1559" w:type="dxa"/>
            <w:shd w:val="clear" w:color="auto" w:fill="auto"/>
          </w:tcPr>
          <w:p w14:paraId="0CEDC29F" w14:textId="77777777" w:rsidR="004D7210" w:rsidRPr="00E60F31" w:rsidRDefault="004D7210" w:rsidP="005442CF">
            <w:pPr>
              <w:rPr>
                <w:sz w:val="18"/>
                <w:szCs w:val="18"/>
                <w:lang w:val="en-US"/>
              </w:rPr>
            </w:pPr>
          </w:p>
        </w:tc>
        <w:tc>
          <w:tcPr>
            <w:tcW w:w="1701" w:type="dxa"/>
            <w:shd w:val="clear" w:color="auto" w:fill="auto"/>
          </w:tcPr>
          <w:p w14:paraId="184FF720" w14:textId="77777777" w:rsidR="004D7210" w:rsidRPr="00E60F31" w:rsidRDefault="004D7210" w:rsidP="005442CF">
            <w:pPr>
              <w:rPr>
                <w:sz w:val="18"/>
                <w:szCs w:val="18"/>
                <w:lang w:val="en-US"/>
              </w:rPr>
            </w:pPr>
          </w:p>
        </w:tc>
        <w:tc>
          <w:tcPr>
            <w:tcW w:w="1676" w:type="dxa"/>
            <w:shd w:val="clear" w:color="auto" w:fill="auto"/>
          </w:tcPr>
          <w:p w14:paraId="4EC8444A" w14:textId="77777777" w:rsidR="004D7210" w:rsidRPr="00E60F31" w:rsidRDefault="004D7210" w:rsidP="005442CF">
            <w:pPr>
              <w:rPr>
                <w:sz w:val="18"/>
                <w:szCs w:val="18"/>
                <w:lang w:val="en-US"/>
              </w:rPr>
            </w:pPr>
          </w:p>
        </w:tc>
        <w:tc>
          <w:tcPr>
            <w:tcW w:w="1313" w:type="dxa"/>
            <w:shd w:val="clear" w:color="auto" w:fill="auto"/>
          </w:tcPr>
          <w:p w14:paraId="73F0B787" w14:textId="77777777" w:rsidR="004D7210" w:rsidRDefault="004D7210" w:rsidP="005442CF">
            <w:pPr>
              <w:rPr>
                <w:sz w:val="18"/>
                <w:szCs w:val="18"/>
                <w:lang w:val="en-US"/>
              </w:rPr>
            </w:pPr>
            <w:r>
              <w:rPr>
                <w:sz w:val="18"/>
                <w:szCs w:val="18"/>
                <w:lang w:val="en-US"/>
              </w:rPr>
              <w:t>Between 0.04 and 9.7 ug 4,4’-MDI/m3</w:t>
            </w:r>
          </w:p>
          <w:p w14:paraId="74BD9E6A" w14:textId="77777777" w:rsidR="004D7210" w:rsidRPr="00E60F31" w:rsidRDefault="004D7210" w:rsidP="005442CF">
            <w:pPr>
              <w:rPr>
                <w:sz w:val="18"/>
                <w:szCs w:val="18"/>
                <w:lang w:val="en-US"/>
              </w:rPr>
            </w:pPr>
            <w:r>
              <w:rPr>
                <w:sz w:val="18"/>
                <w:szCs w:val="18"/>
                <w:lang w:val="en-US"/>
              </w:rPr>
              <w:t xml:space="preserve">(plant C) </w:t>
            </w:r>
          </w:p>
        </w:tc>
        <w:tc>
          <w:tcPr>
            <w:tcW w:w="1976" w:type="dxa"/>
            <w:shd w:val="clear" w:color="auto" w:fill="auto"/>
          </w:tcPr>
          <w:p w14:paraId="297349C3" w14:textId="77777777" w:rsidR="004D7210" w:rsidRPr="00E60F31" w:rsidRDefault="004D7210" w:rsidP="005442CF">
            <w:pPr>
              <w:rPr>
                <w:sz w:val="18"/>
                <w:szCs w:val="18"/>
                <w:lang w:val="en-US"/>
              </w:rPr>
            </w:pPr>
            <w:r>
              <w:rPr>
                <w:sz w:val="18"/>
                <w:szCs w:val="18"/>
                <w:lang w:val="en-US"/>
              </w:rPr>
              <w:t>0.7 ng/ml</w:t>
            </w:r>
          </w:p>
        </w:tc>
        <w:tc>
          <w:tcPr>
            <w:tcW w:w="1414" w:type="dxa"/>
            <w:shd w:val="clear" w:color="auto" w:fill="auto"/>
          </w:tcPr>
          <w:p w14:paraId="46E17E0E" w14:textId="6843CE2F" w:rsidR="004D7210" w:rsidRPr="006D20E6" w:rsidRDefault="006D20E6" w:rsidP="005442CF">
            <w:pPr>
              <w:rPr>
                <w:sz w:val="18"/>
                <w:szCs w:val="18"/>
                <w:lang w:val="en-GB"/>
              </w:rPr>
            </w:pPr>
            <w:r>
              <w:rPr>
                <w:sz w:val="18"/>
                <w:szCs w:val="18"/>
                <w:lang w:val="en-GB"/>
              </w:rPr>
              <w:fldChar w:fldCharType="begin" w:fldLock="1"/>
            </w:r>
            <w:r>
              <w:rPr>
                <w:sz w:val="18"/>
                <w:szCs w:val="18"/>
                <w:lang w:val="en-GB"/>
              </w:rPr>
              <w:instrText>ADDIN CSL_CITATION {"citationItems":[{"id":"ITEM-1","itemData":{"DOI":"10.1007/S00420-013-0872-Y/FIGURES/3","ISSN":"03400131","PMID":"23558852","abstract":"Purpose: Exposure to diisocyanates is a known occupational hazard. One method for monitoring occupational exposure is by analyzing biomarkers in hydrolyzed urine and plasma. The half-life of the biomarkers in plasma is about 3 weeks, and the urinary elimination is divided into one fast (hours) and one slow phases (weeks). Polymorphism in glutathione S-transferase enzymes (GST) is earlier shown to modify the metabolism. The aim of the study was to assess whether biomarkers of exposure in urine collected after two non-exposed days correlate with levels in plasma and whether they can be used as a measure for long-term exposure to aromatic diisocyanates and further whether polymorphisms in GST influenced the correlations. Methods: Biomarkers of exposure was analyzed in urine and blood samples collected from 24 workers, exposed to at least one of toluene-, methylenediphenyl- or naphthalene diisocyanate, on a Monday morning after at least two unexposed days. Moreover, genotype was determined for 19 of the workers. Results: The corresponding specific gravity-adjusted biomarkers in urine and plasma levels for the different diisocyanates correlated well (r between 0.689 and 0.988). When taking all samples together, the correlation coefficient was 0.926. Polymorphism in the GSTM1 genotype seemed to modify the association. Conclusion: Urine collected after two unexposed days can possibly be used as long-term biomarker of exposure for aromatic diisocyanates. © 2013 Springer-Verlag Berlin Heidelberg.","author":[{"dropping-particle":"","family":"Tinnerberg","given":"Håkan","non-dropping-particle":"","parse-names":false,"suffix":""},{"dropping-particle":"","family":"Broberg","given":"Karin","non-dropping-particle":"","parse-names":false,"suffix":""},{"dropping-particle":"","family":"Lindh","given":"Christian H.","non-dropping-particle":"","parse-names":false,"suffix":""},{"dropping-particle":"","family":"Jönsson","given":"Bo A.G.","non-dropping-particle":"","parse-names":false,"suffix":""}],"container-title":"International Archives of Occupational and Environmental Health","id":"ITEM-1","issue":"4","issued":{"date-parts":[["2014","4","5"]]},"page":"365-372","publisher":"Springer Verlag","title":"Biomarkers of exposure in Monday morning urine samples as a long-term measure of exposure to aromatic diisocyanates","type":"article-journal","volume":"87"},"uris":["http://www.mendeley.com/documents/?uuid=febb0603-9bfb-3633-ad97-3ec44a0b1052"]}],"mendeley":{"formattedCitation":"(Tinnerberg et al. 2014)","plainTextFormattedCitation":"(Tinnerberg et al. 2014)","previouslyFormattedCitation":"(Tinnerberg et al. 2014)"},"properties":{"noteIndex":0},"schema":"https://github.com/citation-style-language/schema/raw/master/csl-citation.json"}</w:instrText>
            </w:r>
            <w:r>
              <w:rPr>
                <w:sz w:val="18"/>
                <w:szCs w:val="18"/>
                <w:lang w:val="en-GB"/>
              </w:rPr>
              <w:fldChar w:fldCharType="separate"/>
            </w:r>
            <w:r w:rsidRPr="006D20E6">
              <w:rPr>
                <w:noProof/>
                <w:sz w:val="18"/>
                <w:szCs w:val="18"/>
                <w:lang w:val="en-GB"/>
              </w:rPr>
              <w:t>(Tinnerberg et al. 2014)</w:t>
            </w:r>
            <w:r>
              <w:rPr>
                <w:sz w:val="18"/>
                <w:szCs w:val="18"/>
                <w:lang w:val="en-GB"/>
              </w:rPr>
              <w:fldChar w:fldCharType="end"/>
            </w:r>
          </w:p>
        </w:tc>
      </w:tr>
    </w:tbl>
    <w:p w14:paraId="48B0A3E2" w14:textId="77777777" w:rsidR="004D7210" w:rsidRPr="00021BF7" w:rsidRDefault="004D7210" w:rsidP="004D7210">
      <w:pPr>
        <w:rPr>
          <w:sz w:val="18"/>
          <w:szCs w:val="18"/>
          <w:lang w:val="en-US"/>
        </w:rPr>
      </w:pPr>
    </w:p>
    <w:p w14:paraId="3B8BFCA7" w14:textId="77777777" w:rsidR="004D7210" w:rsidRPr="00E60F31" w:rsidRDefault="004D7210" w:rsidP="004D7210">
      <w:pPr>
        <w:rPr>
          <w:lang w:val="en-US"/>
        </w:rPr>
      </w:pPr>
    </w:p>
    <w:p w14:paraId="04686D8F" w14:textId="77777777" w:rsidR="004D7210" w:rsidRDefault="004D7210" w:rsidP="004D7210">
      <w:pPr>
        <w:rPr>
          <w:lang w:val="en-US"/>
        </w:rPr>
        <w:sectPr w:rsidR="004D7210" w:rsidSect="00121DCB">
          <w:pgSz w:w="16838" w:h="11906" w:orient="landscape"/>
          <w:pgMar w:top="1440" w:right="1440" w:bottom="1440" w:left="1440" w:header="706" w:footer="706" w:gutter="0"/>
          <w:cols w:space="708"/>
          <w:docGrid w:linePitch="360"/>
        </w:sectPr>
      </w:pPr>
      <w:r w:rsidRPr="00E60F31">
        <w:rPr>
          <w:lang w:val="en-US"/>
        </w:rPr>
        <w:br w:type="page"/>
      </w:r>
    </w:p>
    <w:p w14:paraId="039E4729" w14:textId="77777777" w:rsidR="00121DCB" w:rsidRDefault="00121DCB">
      <w:pPr>
        <w:rPr>
          <w:rFonts w:asciiTheme="majorHAnsi" w:eastAsiaTheme="majorEastAsia" w:hAnsiTheme="majorHAnsi" w:cstheme="majorBidi"/>
          <w:color w:val="2F5496" w:themeColor="accent1" w:themeShade="BF"/>
          <w:sz w:val="32"/>
          <w:szCs w:val="32"/>
          <w:lang w:val="en-US"/>
        </w:rPr>
      </w:pPr>
      <w:r>
        <w:rPr>
          <w:lang w:val="en-US"/>
        </w:rPr>
        <w:lastRenderedPageBreak/>
        <w:br w:type="page"/>
      </w:r>
    </w:p>
    <w:p w14:paraId="26F8DE3B" w14:textId="77777777" w:rsidR="003E3472" w:rsidRDefault="003E3472" w:rsidP="00954A7B">
      <w:pPr>
        <w:pStyle w:val="Heading1"/>
        <w:rPr>
          <w:lang w:val="en-US"/>
        </w:rPr>
        <w:sectPr w:rsidR="003E3472" w:rsidSect="00121DCB">
          <w:footerReference w:type="default" r:id="rId9"/>
          <w:pgSz w:w="16838" w:h="11906" w:orient="landscape"/>
          <w:pgMar w:top="1440" w:right="1440" w:bottom="1440" w:left="1440" w:header="709" w:footer="709" w:gutter="0"/>
          <w:lnNumType w:countBy="1" w:restart="continuous"/>
          <w:cols w:space="708"/>
          <w:docGrid w:linePitch="360"/>
        </w:sectPr>
      </w:pPr>
    </w:p>
    <w:p w14:paraId="2B1D7AAC" w14:textId="6AB0F76A" w:rsidR="00954A7B" w:rsidRDefault="00954A7B" w:rsidP="00954A7B">
      <w:pPr>
        <w:pStyle w:val="Heading1"/>
        <w:rPr>
          <w:lang w:val="en-US"/>
        </w:rPr>
      </w:pPr>
      <w:r>
        <w:rPr>
          <w:lang w:val="en-US"/>
        </w:rPr>
        <w:lastRenderedPageBreak/>
        <w:t xml:space="preserve">Appendix </w:t>
      </w:r>
      <w:r w:rsidR="00121DCB">
        <w:rPr>
          <w:lang w:val="en-US"/>
        </w:rPr>
        <w:t>E</w:t>
      </w:r>
      <w:r>
        <w:rPr>
          <w:lang w:val="en-US"/>
        </w:rPr>
        <w:t>- Single exposure scenario</w:t>
      </w:r>
    </w:p>
    <w:p w14:paraId="24F7DA20" w14:textId="77777777" w:rsidR="00954A7B" w:rsidRDefault="00954A7B" w:rsidP="00954A7B">
      <w:pPr>
        <w:rPr>
          <w:rFonts w:ascii="Times New Roman" w:hAnsi="Times New Roman" w:cs="Times New Roman"/>
          <w:sz w:val="24"/>
          <w:szCs w:val="24"/>
          <w:lang w:val="en-US"/>
        </w:rPr>
      </w:pPr>
    </w:p>
    <w:p w14:paraId="5377B598" w14:textId="77777777" w:rsidR="00954A7B" w:rsidRPr="004739CB" w:rsidRDefault="00954A7B" w:rsidP="00954A7B">
      <w:pPr>
        <w:keepNext/>
      </w:pPr>
      <w:r>
        <w:rPr>
          <w:noProof/>
        </w:rPr>
        <w:drawing>
          <wp:inline distT="0" distB="0" distL="0" distR="0" wp14:anchorId="5AE10197" wp14:editId="0506D60D">
            <wp:extent cx="5112385" cy="5112385"/>
            <wp:effectExtent l="0" t="0" r="0" b="0"/>
            <wp:docPr id="35" name="Picture 3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hart&#10;&#10;Description automatically generated"/>
                    <pic:cNvPicPr/>
                  </pic:nvPicPr>
                  <pic:blipFill>
                    <a:blip r:embed="rId10"/>
                    <a:stretch>
                      <a:fillRect/>
                    </a:stretch>
                  </pic:blipFill>
                  <pic:spPr>
                    <a:xfrm>
                      <a:off x="0" y="0"/>
                      <a:ext cx="5112385" cy="5112385"/>
                    </a:xfrm>
                    <a:prstGeom prst="rect">
                      <a:avLst/>
                    </a:prstGeom>
                  </pic:spPr>
                </pic:pic>
              </a:graphicData>
            </a:graphic>
          </wp:inline>
        </w:drawing>
      </w:r>
    </w:p>
    <w:p w14:paraId="327E7C5C" w14:textId="77777777" w:rsidR="00954A7B" w:rsidRPr="007427D8" w:rsidRDefault="00954A7B" w:rsidP="00954A7B">
      <w:pPr>
        <w:pStyle w:val="Caption"/>
        <w:rPr>
          <w:b w:val="0"/>
          <w:bCs w:val="0"/>
          <w:lang w:val="en-US"/>
        </w:rPr>
      </w:pPr>
      <w:r w:rsidRPr="004739CB">
        <w:t xml:space="preserve">Figure </w:t>
      </w:r>
      <w:r>
        <w:t>S1</w:t>
      </w:r>
      <w:r w:rsidRPr="004739CB">
        <w:t xml:space="preserve">. </w:t>
      </w:r>
      <w:r>
        <w:t>Estimated</w:t>
      </w:r>
      <w:r w:rsidRPr="004739CB">
        <w:t xml:space="preserve"> urinary concentrations</w:t>
      </w:r>
      <w:r>
        <w:t xml:space="preserve"> of TDA (in </w:t>
      </w:r>
      <w:proofErr w:type="spellStart"/>
      <w:r>
        <w:t>μg</w:t>
      </w:r>
      <w:proofErr w:type="spellEnd"/>
      <w:r>
        <w:t xml:space="preserve">/g </w:t>
      </w:r>
      <w:proofErr w:type="spellStart"/>
      <w:r>
        <w:t>creatinin</w:t>
      </w:r>
      <w:proofErr w:type="spellEnd"/>
      <w:r>
        <w:t>) after</w:t>
      </w:r>
      <w:r w:rsidRPr="004739CB">
        <w:t xml:space="preserve"> </w:t>
      </w:r>
      <w:proofErr w:type="spellStart"/>
      <w:r>
        <w:t>inhalatory</w:t>
      </w:r>
      <w:proofErr w:type="spellEnd"/>
      <w:r>
        <w:t xml:space="preserve"> </w:t>
      </w:r>
      <w:r w:rsidRPr="004739CB">
        <w:t xml:space="preserve">exposure to 40 </w:t>
      </w:r>
      <w:r w:rsidRPr="00574967">
        <w:t>µ</w:t>
      </w:r>
      <w:r w:rsidRPr="004739CB">
        <w:t xml:space="preserve">g/m3 </w:t>
      </w:r>
      <w:r>
        <w:t xml:space="preserve">of </w:t>
      </w:r>
      <w:r w:rsidRPr="004739CB">
        <w:t>TDI</w:t>
      </w:r>
      <w:r>
        <w:t xml:space="preserve"> for 4 hours, with urination every 4 hours.</w:t>
      </w:r>
      <w:r w:rsidRPr="007427D8">
        <w:rPr>
          <w:b w:val="0"/>
          <w:bCs w:val="0"/>
        </w:rPr>
        <w:t xml:space="preserve"> </w:t>
      </w:r>
      <w:r>
        <w:rPr>
          <w:b w:val="0"/>
          <w:bCs w:val="0"/>
        </w:rPr>
        <w:t>Urination m</w:t>
      </w:r>
      <w:r w:rsidRPr="007427D8">
        <w:rPr>
          <w:b w:val="0"/>
          <w:bCs w:val="0"/>
        </w:rPr>
        <w:t xml:space="preserve">oments </w:t>
      </w:r>
      <w:r>
        <w:rPr>
          <w:b w:val="0"/>
          <w:bCs w:val="0"/>
        </w:rPr>
        <w:t xml:space="preserve">are </w:t>
      </w:r>
      <w:r w:rsidRPr="007427D8">
        <w:rPr>
          <w:b w:val="0"/>
          <w:bCs w:val="0"/>
        </w:rPr>
        <w:t xml:space="preserve">indicated by </w:t>
      </w:r>
      <w:r>
        <w:rPr>
          <w:b w:val="0"/>
          <w:bCs w:val="0"/>
        </w:rPr>
        <w:t>dotted</w:t>
      </w:r>
      <w:r w:rsidRPr="007427D8">
        <w:rPr>
          <w:b w:val="0"/>
          <w:bCs w:val="0"/>
        </w:rPr>
        <w:t xml:space="preserve"> lines </w:t>
      </w:r>
      <w:r>
        <w:rPr>
          <w:b w:val="0"/>
          <w:bCs w:val="0"/>
        </w:rPr>
        <w:t>with</w:t>
      </w:r>
      <w:r w:rsidRPr="007427D8">
        <w:rPr>
          <w:b w:val="0"/>
          <w:bCs w:val="0"/>
        </w:rPr>
        <w:t xml:space="preserve"> </w:t>
      </w:r>
      <w:r>
        <w:rPr>
          <w:b w:val="0"/>
          <w:bCs w:val="0"/>
        </w:rPr>
        <w:t>predicted</w:t>
      </w:r>
      <w:r w:rsidRPr="007427D8">
        <w:rPr>
          <w:b w:val="0"/>
          <w:bCs w:val="0"/>
        </w:rPr>
        <w:t xml:space="preserve"> urinary </w:t>
      </w:r>
      <w:r>
        <w:rPr>
          <w:b w:val="0"/>
          <w:bCs w:val="0"/>
        </w:rPr>
        <w:t>concentrations</w:t>
      </w:r>
      <w:r w:rsidRPr="007427D8">
        <w:rPr>
          <w:b w:val="0"/>
          <w:bCs w:val="0"/>
        </w:rPr>
        <w:t xml:space="preserve"> </w:t>
      </w:r>
      <w:r>
        <w:rPr>
          <w:b w:val="0"/>
          <w:bCs w:val="0"/>
        </w:rPr>
        <w:t xml:space="preserve">indicated </w:t>
      </w:r>
      <w:r w:rsidRPr="007427D8">
        <w:rPr>
          <w:b w:val="0"/>
          <w:bCs w:val="0"/>
        </w:rPr>
        <w:t xml:space="preserve">by </w:t>
      </w:r>
      <w:r>
        <w:rPr>
          <w:b w:val="0"/>
          <w:bCs w:val="0"/>
        </w:rPr>
        <w:t xml:space="preserve">a </w:t>
      </w:r>
      <w:r w:rsidRPr="007427D8">
        <w:rPr>
          <w:b w:val="0"/>
          <w:bCs w:val="0"/>
        </w:rPr>
        <w:t xml:space="preserve">blue dot. </w:t>
      </w:r>
    </w:p>
    <w:p w14:paraId="39759DBA" w14:textId="77777777" w:rsidR="00954A7B" w:rsidRDefault="00954A7B" w:rsidP="00954A7B">
      <w:pPr>
        <w:rPr>
          <w:rFonts w:ascii="Times New Roman" w:hAnsi="Times New Roman" w:cs="Times New Roman"/>
          <w:sz w:val="24"/>
          <w:szCs w:val="24"/>
          <w:lang w:val="en-US"/>
        </w:rPr>
      </w:pPr>
    </w:p>
    <w:p w14:paraId="7030CD45" w14:textId="77777777" w:rsidR="00954A7B" w:rsidRDefault="00954A7B" w:rsidP="00954A7B">
      <w:pPr>
        <w:rPr>
          <w:rFonts w:ascii="Times New Roman" w:hAnsi="Times New Roman" w:cs="Times New Roman"/>
          <w:sz w:val="24"/>
          <w:szCs w:val="24"/>
          <w:lang w:val="en-US"/>
        </w:rPr>
      </w:pPr>
      <w:r>
        <w:rPr>
          <w:noProof/>
        </w:rPr>
        <w:lastRenderedPageBreak/>
        <w:drawing>
          <wp:inline distT="0" distB="0" distL="0" distR="0" wp14:anchorId="724E5C2E" wp14:editId="4333380A">
            <wp:extent cx="5302885" cy="5302885"/>
            <wp:effectExtent l="0" t="0" r="0" b="0"/>
            <wp:docPr id="38" name="Picture 3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hart, line chart&#10;&#10;Description automatically generated"/>
                    <pic:cNvPicPr/>
                  </pic:nvPicPr>
                  <pic:blipFill>
                    <a:blip r:embed="rId11"/>
                    <a:stretch>
                      <a:fillRect/>
                    </a:stretch>
                  </pic:blipFill>
                  <pic:spPr>
                    <a:xfrm>
                      <a:off x="0" y="0"/>
                      <a:ext cx="5302885" cy="5302885"/>
                    </a:xfrm>
                    <a:prstGeom prst="rect">
                      <a:avLst/>
                    </a:prstGeom>
                  </pic:spPr>
                </pic:pic>
              </a:graphicData>
            </a:graphic>
          </wp:inline>
        </w:drawing>
      </w:r>
    </w:p>
    <w:p w14:paraId="1B3FD511" w14:textId="77777777" w:rsidR="00954A7B" w:rsidRPr="007427D8" w:rsidRDefault="00954A7B" w:rsidP="00954A7B">
      <w:pPr>
        <w:pStyle w:val="Caption"/>
        <w:rPr>
          <w:b w:val="0"/>
          <w:bCs w:val="0"/>
          <w:lang w:val="en-US"/>
        </w:rPr>
      </w:pPr>
      <w:r w:rsidRPr="004739CB">
        <w:t xml:space="preserve">Figure </w:t>
      </w:r>
      <w:r>
        <w:t>S2</w:t>
      </w:r>
      <w:r w:rsidRPr="004739CB">
        <w:t xml:space="preserve">. </w:t>
      </w:r>
      <w:r>
        <w:t>Estimated</w:t>
      </w:r>
      <w:r w:rsidRPr="004739CB">
        <w:t xml:space="preserve"> urinary concentrations</w:t>
      </w:r>
      <w:r>
        <w:t xml:space="preserve"> of MDA (in </w:t>
      </w:r>
      <w:proofErr w:type="spellStart"/>
      <w:r>
        <w:t>μg</w:t>
      </w:r>
      <w:proofErr w:type="spellEnd"/>
      <w:r>
        <w:t>/g creatinine) after</w:t>
      </w:r>
      <w:r w:rsidRPr="004739CB">
        <w:t xml:space="preserve"> </w:t>
      </w:r>
      <w:proofErr w:type="spellStart"/>
      <w:r>
        <w:t>inhalatory</w:t>
      </w:r>
      <w:proofErr w:type="spellEnd"/>
      <w:r>
        <w:t xml:space="preserve"> </w:t>
      </w:r>
      <w:r w:rsidRPr="004739CB">
        <w:t xml:space="preserve">exposure to 40 </w:t>
      </w:r>
      <w:r w:rsidRPr="00574967">
        <w:t>µ</w:t>
      </w:r>
      <w:r w:rsidRPr="004739CB">
        <w:t xml:space="preserve">g/m3 </w:t>
      </w:r>
      <w:r>
        <w:t>of M</w:t>
      </w:r>
      <w:r w:rsidRPr="004739CB">
        <w:t>DI</w:t>
      </w:r>
      <w:r>
        <w:t xml:space="preserve"> for 4 hours, with urination every 4 hours.</w:t>
      </w:r>
      <w:r w:rsidRPr="007427D8">
        <w:rPr>
          <w:b w:val="0"/>
          <w:bCs w:val="0"/>
        </w:rPr>
        <w:t xml:space="preserve"> </w:t>
      </w:r>
      <w:r>
        <w:rPr>
          <w:b w:val="0"/>
          <w:bCs w:val="0"/>
        </w:rPr>
        <w:t>Urination m</w:t>
      </w:r>
      <w:r w:rsidRPr="007427D8">
        <w:rPr>
          <w:b w:val="0"/>
          <w:bCs w:val="0"/>
        </w:rPr>
        <w:t xml:space="preserve">oments </w:t>
      </w:r>
      <w:r>
        <w:rPr>
          <w:b w:val="0"/>
          <w:bCs w:val="0"/>
        </w:rPr>
        <w:t xml:space="preserve">are </w:t>
      </w:r>
      <w:r w:rsidRPr="007427D8">
        <w:rPr>
          <w:b w:val="0"/>
          <w:bCs w:val="0"/>
        </w:rPr>
        <w:t xml:space="preserve">indicated by </w:t>
      </w:r>
      <w:r>
        <w:rPr>
          <w:b w:val="0"/>
          <w:bCs w:val="0"/>
        </w:rPr>
        <w:t>dotted</w:t>
      </w:r>
      <w:r w:rsidRPr="007427D8">
        <w:rPr>
          <w:b w:val="0"/>
          <w:bCs w:val="0"/>
        </w:rPr>
        <w:t xml:space="preserve"> lines </w:t>
      </w:r>
      <w:r>
        <w:rPr>
          <w:b w:val="0"/>
          <w:bCs w:val="0"/>
        </w:rPr>
        <w:t>with</w:t>
      </w:r>
      <w:r w:rsidRPr="007427D8">
        <w:rPr>
          <w:b w:val="0"/>
          <w:bCs w:val="0"/>
        </w:rPr>
        <w:t xml:space="preserve"> </w:t>
      </w:r>
      <w:r>
        <w:rPr>
          <w:b w:val="0"/>
          <w:bCs w:val="0"/>
        </w:rPr>
        <w:t>predicted</w:t>
      </w:r>
      <w:r w:rsidRPr="007427D8">
        <w:rPr>
          <w:b w:val="0"/>
          <w:bCs w:val="0"/>
        </w:rPr>
        <w:t xml:space="preserve"> urinary </w:t>
      </w:r>
      <w:r>
        <w:rPr>
          <w:b w:val="0"/>
          <w:bCs w:val="0"/>
        </w:rPr>
        <w:t>concentrations</w:t>
      </w:r>
      <w:r w:rsidRPr="007427D8">
        <w:rPr>
          <w:b w:val="0"/>
          <w:bCs w:val="0"/>
        </w:rPr>
        <w:t xml:space="preserve"> </w:t>
      </w:r>
      <w:r>
        <w:rPr>
          <w:b w:val="0"/>
          <w:bCs w:val="0"/>
        </w:rPr>
        <w:t xml:space="preserve">indicated </w:t>
      </w:r>
      <w:r w:rsidRPr="007427D8">
        <w:rPr>
          <w:b w:val="0"/>
          <w:bCs w:val="0"/>
        </w:rPr>
        <w:t xml:space="preserve">by </w:t>
      </w:r>
      <w:r>
        <w:rPr>
          <w:b w:val="0"/>
          <w:bCs w:val="0"/>
        </w:rPr>
        <w:t xml:space="preserve">a </w:t>
      </w:r>
      <w:r w:rsidRPr="007427D8">
        <w:rPr>
          <w:b w:val="0"/>
          <w:bCs w:val="0"/>
        </w:rPr>
        <w:t xml:space="preserve">blue dot. </w:t>
      </w:r>
    </w:p>
    <w:p w14:paraId="7ADDB088" w14:textId="77777777" w:rsidR="00954A7B" w:rsidRDefault="00954A7B" w:rsidP="00954A7B">
      <w:pPr>
        <w:rPr>
          <w:lang w:val="en-US"/>
        </w:rPr>
      </w:pPr>
    </w:p>
    <w:p w14:paraId="3F5CCE3A" w14:textId="63A34D49" w:rsidR="009A64AB" w:rsidRDefault="00954A7B">
      <w:pPr>
        <w:rPr>
          <w:rFonts w:asciiTheme="majorHAnsi" w:eastAsia="Calibri" w:hAnsiTheme="majorHAnsi" w:cstheme="majorBidi"/>
          <w:color w:val="2F5496" w:themeColor="accent1" w:themeShade="BF"/>
          <w:sz w:val="32"/>
          <w:szCs w:val="32"/>
          <w:lang w:val="en-US"/>
        </w:rPr>
      </w:pPr>
      <w:r w:rsidRPr="00C608D8">
        <w:rPr>
          <w:lang w:val="en-US"/>
        </w:rPr>
        <w:br w:type="page"/>
      </w:r>
    </w:p>
    <w:p w14:paraId="353FC717" w14:textId="78C49867" w:rsidR="004D7210" w:rsidRDefault="004D7210" w:rsidP="004D7210">
      <w:pPr>
        <w:pStyle w:val="Heading1"/>
        <w:rPr>
          <w:rFonts w:eastAsia="Calibri"/>
          <w:lang w:val="en-US"/>
        </w:rPr>
      </w:pPr>
      <w:r>
        <w:rPr>
          <w:rFonts w:eastAsia="Calibri"/>
          <w:lang w:val="en-US"/>
        </w:rPr>
        <w:lastRenderedPageBreak/>
        <w:t xml:space="preserve">Appendix </w:t>
      </w:r>
      <w:r w:rsidR="00546D55">
        <w:rPr>
          <w:rFonts w:eastAsia="Calibri"/>
          <w:lang w:val="en-US"/>
        </w:rPr>
        <w:t>F</w:t>
      </w:r>
      <w:r>
        <w:rPr>
          <w:rFonts w:eastAsia="Calibri"/>
          <w:lang w:val="en-US"/>
        </w:rPr>
        <w:t xml:space="preserve"> – Dermal exposure to MDI </w:t>
      </w:r>
    </w:p>
    <w:p w14:paraId="6AC58369" w14:textId="77777777" w:rsidR="004D7210" w:rsidRPr="007427D8" w:rsidRDefault="004D7210" w:rsidP="004D7210">
      <w:pPr>
        <w:rPr>
          <w:lang w:val="en-US"/>
        </w:rPr>
      </w:pPr>
    </w:p>
    <w:tbl>
      <w:tblPr>
        <w:tblStyle w:val="TableGrid"/>
        <w:tblW w:w="0" w:type="auto"/>
        <w:tblLook w:val="04A0" w:firstRow="1" w:lastRow="0" w:firstColumn="1" w:lastColumn="0" w:noHBand="0" w:noVBand="1"/>
      </w:tblPr>
      <w:tblGrid>
        <w:gridCol w:w="4508"/>
        <w:gridCol w:w="4508"/>
      </w:tblGrid>
      <w:tr w:rsidR="00871DF5" w:rsidRPr="006D20E6" w14:paraId="24714767" w14:textId="77777777" w:rsidTr="005442CF">
        <w:tc>
          <w:tcPr>
            <w:tcW w:w="4508" w:type="dxa"/>
          </w:tcPr>
          <w:p w14:paraId="364F4CFB" w14:textId="77777777" w:rsidR="004D7210" w:rsidRPr="006D20E6" w:rsidRDefault="004D7210" w:rsidP="005442CF">
            <w:pPr>
              <w:keepNext/>
              <w:rPr>
                <w:noProof/>
                <w:lang w:val="en-GB"/>
              </w:rPr>
            </w:pPr>
            <w:bookmarkStart w:id="2" w:name="_Hlk104824454"/>
            <w:r w:rsidRPr="006D20E6">
              <w:rPr>
                <w:noProof/>
                <w:lang w:val="en-GB"/>
              </w:rPr>
              <w:t>A</w:t>
            </w:r>
          </w:p>
          <w:p w14:paraId="3D324EC6" w14:textId="2917B329" w:rsidR="001B1412" w:rsidRDefault="0045398A" w:rsidP="005442CF">
            <w:pPr>
              <w:keepNext/>
              <w:rPr>
                <w:color w:val="FF0000"/>
                <w:lang w:val="en-GB"/>
              </w:rPr>
            </w:pPr>
            <w:r>
              <w:rPr>
                <w:noProof/>
              </w:rPr>
              <w:drawing>
                <wp:inline distT="0" distB="0" distL="0" distR="0" wp14:anchorId="1A08EED8" wp14:editId="1A48EF2C">
                  <wp:extent cx="2668480" cy="27060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88138" cy="2725960"/>
                          </a:xfrm>
                          <a:prstGeom prst="rect">
                            <a:avLst/>
                          </a:prstGeom>
                        </pic:spPr>
                      </pic:pic>
                    </a:graphicData>
                  </a:graphic>
                </wp:inline>
              </w:drawing>
            </w:r>
          </w:p>
          <w:p w14:paraId="5A2EFE71" w14:textId="77777777" w:rsidR="00171E46" w:rsidRDefault="00171E46" w:rsidP="005442CF">
            <w:pPr>
              <w:keepNext/>
              <w:rPr>
                <w:color w:val="FF0000"/>
                <w:lang w:val="en-GB"/>
              </w:rPr>
            </w:pPr>
          </w:p>
          <w:p w14:paraId="1B48FA26" w14:textId="4B494C02" w:rsidR="00171E46" w:rsidRPr="006D20E6" w:rsidRDefault="00171E46" w:rsidP="005442CF">
            <w:pPr>
              <w:keepNext/>
              <w:rPr>
                <w:color w:val="FF0000"/>
                <w:lang w:val="en-GB"/>
              </w:rPr>
            </w:pPr>
          </w:p>
        </w:tc>
        <w:tc>
          <w:tcPr>
            <w:tcW w:w="4508" w:type="dxa"/>
          </w:tcPr>
          <w:p w14:paraId="59B149C9" w14:textId="77777777" w:rsidR="004D7210" w:rsidRPr="006D20E6" w:rsidRDefault="004D7210" w:rsidP="005442CF">
            <w:pPr>
              <w:keepNext/>
              <w:rPr>
                <w:noProof/>
                <w:lang w:val="en-GB"/>
              </w:rPr>
            </w:pPr>
            <w:r w:rsidRPr="006D20E6">
              <w:rPr>
                <w:noProof/>
                <w:lang w:val="en-GB"/>
              </w:rPr>
              <w:t>B</w:t>
            </w:r>
          </w:p>
          <w:p w14:paraId="75425B16" w14:textId="0D40FC99" w:rsidR="004D7210" w:rsidRDefault="004D7210" w:rsidP="005442CF">
            <w:pPr>
              <w:keepNext/>
              <w:rPr>
                <w:color w:val="FF0000"/>
                <w:lang w:val="en-GB"/>
              </w:rPr>
            </w:pPr>
          </w:p>
          <w:p w14:paraId="4EC6DBBE" w14:textId="3D611240" w:rsidR="00871DF5" w:rsidRDefault="0071473C" w:rsidP="005442CF">
            <w:pPr>
              <w:keepNext/>
              <w:rPr>
                <w:color w:val="FF0000"/>
                <w:lang w:val="en-GB"/>
              </w:rPr>
            </w:pPr>
            <w:r>
              <w:rPr>
                <w:noProof/>
              </w:rPr>
              <w:drawing>
                <wp:inline distT="0" distB="0" distL="0" distR="0" wp14:anchorId="5005FDA3" wp14:editId="78837D39">
                  <wp:extent cx="2552700" cy="2585506"/>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69815" cy="2602841"/>
                          </a:xfrm>
                          <a:prstGeom prst="rect">
                            <a:avLst/>
                          </a:prstGeom>
                        </pic:spPr>
                      </pic:pic>
                    </a:graphicData>
                  </a:graphic>
                </wp:inline>
              </w:drawing>
            </w:r>
          </w:p>
          <w:p w14:paraId="016896E4" w14:textId="7864E8D6" w:rsidR="00BC7720" w:rsidRPr="006D20E6" w:rsidRDefault="00BC7720" w:rsidP="005442CF">
            <w:pPr>
              <w:keepNext/>
              <w:rPr>
                <w:color w:val="FF0000"/>
                <w:lang w:val="en-GB"/>
              </w:rPr>
            </w:pPr>
          </w:p>
        </w:tc>
      </w:tr>
    </w:tbl>
    <w:p w14:paraId="28CCF218" w14:textId="24D362D3" w:rsidR="004D7210" w:rsidRDefault="004D7210" w:rsidP="004D7210">
      <w:pPr>
        <w:pStyle w:val="Caption"/>
      </w:pPr>
      <w:r w:rsidRPr="007427D8">
        <w:t xml:space="preserve">Figure </w:t>
      </w:r>
      <w:r>
        <w:t>S</w:t>
      </w:r>
      <w:r w:rsidR="00546D55">
        <w:t>3</w:t>
      </w:r>
      <w:r w:rsidRPr="007427D8">
        <w:t xml:space="preserve">: </w:t>
      </w:r>
      <w:r>
        <w:t>Predicted u</w:t>
      </w:r>
      <w:r w:rsidRPr="007427D8">
        <w:t>rinary c</w:t>
      </w:r>
      <w:bookmarkStart w:id="3" w:name="_Hlk101784861"/>
      <w:r w:rsidRPr="007427D8">
        <w:t xml:space="preserve">oncentrations </w:t>
      </w:r>
      <w:r>
        <w:t xml:space="preserve">of MDA (in </w:t>
      </w:r>
      <w:proofErr w:type="spellStart"/>
      <w:r>
        <w:t>μg</w:t>
      </w:r>
      <w:proofErr w:type="spellEnd"/>
      <w:r>
        <w:t xml:space="preserve">/g </w:t>
      </w:r>
      <w:proofErr w:type="spellStart"/>
      <w:r>
        <w:t>creatinin</w:t>
      </w:r>
      <w:proofErr w:type="spellEnd"/>
      <w:r>
        <w:t>) after 4 hours of both dermal (</w:t>
      </w:r>
      <w:r w:rsidRPr="007427D8">
        <w:t>0.015 ug MDI/cm2/h</w:t>
      </w:r>
      <w:r>
        <w:t>ou</w:t>
      </w:r>
      <w:r w:rsidRPr="007427D8">
        <w:t>r</w:t>
      </w:r>
      <w:r>
        <w:t xml:space="preserve">) and </w:t>
      </w:r>
      <w:proofErr w:type="spellStart"/>
      <w:r>
        <w:t>inhalatory</w:t>
      </w:r>
      <w:proofErr w:type="spellEnd"/>
      <w:r>
        <w:t xml:space="preserve"> (</w:t>
      </w:r>
      <w:r w:rsidRPr="007427D8">
        <w:t>0.4 ug MDI/m3</w:t>
      </w:r>
      <w:r>
        <w:t>) exposure to MDI (A), or after dermal exposure only (B)</w:t>
      </w:r>
      <w:bookmarkEnd w:id="3"/>
      <w:r>
        <w:t>.</w:t>
      </w:r>
    </w:p>
    <w:p w14:paraId="2BB2584E" w14:textId="5C82FF88" w:rsidR="008D369C" w:rsidRPr="00EA45CF" w:rsidRDefault="004D7210" w:rsidP="00EA45CF">
      <w:pPr>
        <w:pStyle w:val="Heading1"/>
        <w:rPr>
          <w:lang w:val="en-GB"/>
        </w:rPr>
      </w:pPr>
      <w:r w:rsidRPr="00EA45CF">
        <w:rPr>
          <w:lang w:val="en-GB"/>
        </w:rPr>
        <w:br w:type="page"/>
      </w:r>
      <w:r w:rsidR="003E0C95" w:rsidRPr="00EA45CF">
        <w:rPr>
          <w:lang w:val="en-GB"/>
        </w:rPr>
        <w:lastRenderedPageBreak/>
        <w:t xml:space="preserve">Appendix </w:t>
      </w:r>
      <w:r w:rsidR="00546D55">
        <w:rPr>
          <w:lang w:val="en-GB"/>
        </w:rPr>
        <w:t>G</w:t>
      </w:r>
      <w:r w:rsidR="003E0C95" w:rsidRPr="00EA45CF">
        <w:rPr>
          <w:lang w:val="en-GB"/>
        </w:rPr>
        <w:t xml:space="preserve"> </w:t>
      </w:r>
      <w:r w:rsidR="008D369C" w:rsidRPr="00EA45CF">
        <w:rPr>
          <w:lang w:val="en-GB"/>
        </w:rPr>
        <w:t>–</w:t>
      </w:r>
      <w:r w:rsidR="003E0C95" w:rsidRPr="00EA45CF">
        <w:rPr>
          <w:lang w:val="en-GB"/>
        </w:rPr>
        <w:t xml:space="preserve"> </w:t>
      </w:r>
      <w:r w:rsidR="008D369C">
        <w:rPr>
          <w:lang w:val="en-GB"/>
        </w:rPr>
        <w:t>Global s</w:t>
      </w:r>
      <w:r w:rsidR="008D369C" w:rsidRPr="00EA45CF">
        <w:rPr>
          <w:lang w:val="en-GB"/>
        </w:rPr>
        <w:t>ensitivity analysis on Monday Morning</w:t>
      </w:r>
    </w:p>
    <w:p w14:paraId="40123941" w14:textId="77777777" w:rsidR="00B16F4B" w:rsidRDefault="003E0C95">
      <w:pPr>
        <w:rPr>
          <w:lang w:val="en-GB"/>
        </w:rPr>
      </w:pPr>
      <w:r w:rsidRPr="00EA45CF">
        <w:rPr>
          <w:lang w:val="en-GB"/>
        </w:rPr>
        <w:t xml:space="preserve"> </w:t>
      </w:r>
    </w:p>
    <w:p w14:paraId="453FA298" w14:textId="77777777" w:rsidR="000926CA" w:rsidRDefault="00B16F4B" w:rsidP="00EA45CF">
      <w:pPr>
        <w:keepNext/>
      </w:pPr>
      <w:r>
        <w:rPr>
          <w:noProof/>
        </w:rPr>
        <w:drawing>
          <wp:inline distT="0" distB="0" distL="0" distR="0" wp14:anchorId="46BBB79D" wp14:editId="2C308C43">
            <wp:extent cx="4347713" cy="4341916"/>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56424" cy="4350615"/>
                    </a:xfrm>
                    <a:prstGeom prst="rect">
                      <a:avLst/>
                    </a:prstGeom>
                  </pic:spPr>
                </pic:pic>
              </a:graphicData>
            </a:graphic>
          </wp:inline>
        </w:drawing>
      </w:r>
    </w:p>
    <w:p w14:paraId="4E3174DF" w14:textId="2891FE2B" w:rsidR="00B16F4B" w:rsidRDefault="000926CA" w:rsidP="00EA45CF">
      <w:pPr>
        <w:pStyle w:val="Caption"/>
      </w:pPr>
      <w:r>
        <w:t xml:space="preserve">Figure </w:t>
      </w:r>
      <w:r w:rsidR="0057728C">
        <w:t>S</w:t>
      </w:r>
      <w:r w:rsidR="00546D55">
        <w:t>4</w:t>
      </w:r>
      <w:r>
        <w:t xml:space="preserve">. </w:t>
      </w:r>
      <w:r w:rsidR="00F86653">
        <w:t xml:space="preserve">Lowry plot of results from the </w:t>
      </w:r>
      <w:proofErr w:type="spellStart"/>
      <w:r w:rsidR="00F86653">
        <w:t>eFAST</w:t>
      </w:r>
      <w:proofErr w:type="spellEnd"/>
      <w:r w:rsidR="00F86653">
        <w:t xml:space="preserve"> </w:t>
      </w:r>
      <w:proofErr w:type="spellStart"/>
      <w:r w:rsidR="00F86653">
        <w:t>sensitivitiy</w:t>
      </w:r>
      <w:proofErr w:type="spellEnd"/>
      <w:r w:rsidR="00F86653">
        <w:t xml:space="preserve"> analysis for predicted urinary concentrations of TDA (</w:t>
      </w:r>
      <w:r w:rsidR="00F86653" w:rsidRPr="00DE74BA">
        <w:t xml:space="preserve">in </w:t>
      </w:r>
      <w:r w:rsidR="00F86653" w:rsidRPr="003915A1">
        <w:t>µ</w:t>
      </w:r>
      <w:r w:rsidR="00F86653" w:rsidRPr="00DE74BA">
        <w:t>g/gr creatinine</w:t>
      </w:r>
      <w:r w:rsidR="00F86653">
        <w:t xml:space="preserve">) </w:t>
      </w:r>
      <w:r w:rsidR="00F86653" w:rsidRPr="006132DE">
        <w:t xml:space="preserve">at </w:t>
      </w:r>
      <w:r w:rsidR="00F86653">
        <w:t xml:space="preserve">Monday Morning. </w:t>
      </w:r>
      <w:r w:rsidR="00F86653" w:rsidRPr="00CC6471">
        <w:rPr>
          <w:b w:val="0"/>
          <w:bCs w:val="0"/>
        </w:rPr>
        <w:t xml:space="preserve">Exposure was assumed to occur </w:t>
      </w:r>
      <w:r w:rsidR="00F86653">
        <w:rPr>
          <w:b w:val="0"/>
          <w:bCs w:val="0"/>
        </w:rPr>
        <w:t>on 5 days a week, for 8 hours a day (</w:t>
      </w:r>
      <w:r w:rsidR="00F86653" w:rsidRPr="00CC6471">
        <w:rPr>
          <w:b w:val="0"/>
          <w:bCs w:val="0"/>
        </w:rPr>
        <w:t>from 9:00 to 17:00</w:t>
      </w:r>
      <w:r w:rsidR="00F86653">
        <w:rPr>
          <w:b w:val="0"/>
          <w:bCs w:val="0"/>
        </w:rPr>
        <w:t>),</w:t>
      </w:r>
      <w:r w:rsidR="00F86653" w:rsidRPr="00CC6471">
        <w:rPr>
          <w:b w:val="0"/>
          <w:bCs w:val="0"/>
        </w:rPr>
        <w:t xml:space="preserve"> </w:t>
      </w:r>
      <w:r w:rsidR="00F86653">
        <w:rPr>
          <w:b w:val="0"/>
          <w:bCs w:val="0"/>
        </w:rPr>
        <w:t xml:space="preserve">for a period of 8 weeks, </w:t>
      </w:r>
      <w:r w:rsidR="00F86653" w:rsidRPr="00CC6471">
        <w:rPr>
          <w:b w:val="0"/>
          <w:bCs w:val="0"/>
        </w:rPr>
        <w:t xml:space="preserve">with </w:t>
      </w:r>
      <w:r w:rsidR="00F86653">
        <w:rPr>
          <w:b w:val="0"/>
          <w:bCs w:val="0"/>
        </w:rPr>
        <w:t xml:space="preserve">daily </w:t>
      </w:r>
      <w:r w:rsidR="00F86653" w:rsidRPr="00CC6471">
        <w:rPr>
          <w:b w:val="0"/>
          <w:bCs w:val="0"/>
        </w:rPr>
        <w:t>urination at 8:00, 13:00, 18:00, and 23:00.</w:t>
      </w:r>
      <w:r w:rsidR="00F86653">
        <w:rPr>
          <w:b w:val="0"/>
          <w:bCs w:val="0"/>
        </w:rPr>
        <w:t xml:space="preserve"> The total effect is comprised of the main effects (black bar) and possible interactions with other parameters (grey bar) given as the proportion of variance in the output parameter. The grey ribbon indicates the cumulative proportion of variance explained due to main effects and parameter interactions.</w:t>
      </w:r>
    </w:p>
    <w:p w14:paraId="7CFE8B18" w14:textId="77777777" w:rsidR="000926CA" w:rsidRDefault="000926CA">
      <w:pPr>
        <w:rPr>
          <w:lang w:val="en-GB"/>
        </w:rPr>
      </w:pPr>
    </w:p>
    <w:p w14:paraId="6C8BAB73" w14:textId="77777777" w:rsidR="003E1C94" w:rsidRDefault="000926CA" w:rsidP="00EA45CF">
      <w:pPr>
        <w:keepNext/>
      </w:pPr>
      <w:r>
        <w:rPr>
          <w:noProof/>
        </w:rPr>
        <w:lastRenderedPageBreak/>
        <w:drawing>
          <wp:inline distT="0" distB="0" distL="0" distR="0" wp14:anchorId="3E13C5C8" wp14:editId="2E4B761D">
            <wp:extent cx="4278702" cy="4272997"/>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93092" cy="4287368"/>
                    </a:xfrm>
                    <a:prstGeom prst="rect">
                      <a:avLst/>
                    </a:prstGeom>
                  </pic:spPr>
                </pic:pic>
              </a:graphicData>
            </a:graphic>
          </wp:inline>
        </w:drawing>
      </w:r>
    </w:p>
    <w:p w14:paraId="453D44CD" w14:textId="03D07178" w:rsidR="003E1C94" w:rsidRDefault="003E1C94" w:rsidP="003E1C94">
      <w:pPr>
        <w:pStyle w:val="Caption"/>
      </w:pPr>
      <w:r>
        <w:t xml:space="preserve">Figure </w:t>
      </w:r>
      <w:r w:rsidR="0057728C">
        <w:t>S</w:t>
      </w:r>
      <w:r w:rsidR="00546D55">
        <w:t>5</w:t>
      </w:r>
      <w:r>
        <w:t xml:space="preserve">. Lowry plot of results from the </w:t>
      </w:r>
      <w:proofErr w:type="spellStart"/>
      <w:r>
        <w:t>eFAST</w:t>
      </w:r>
      <w:proofErr w:type="spellEnd"/>
      <w:r>
        <w:t xml:space="preserve"> sensitivity analysis for predicted urinary concentrations of MDA (</w:t>
      </w:r>
      <w:r w:rsidRPr="00DE74BA">
        <w:t xml:space="preserve">in </w:t>
      </w:r>
      <w:r w:rsidRPr="003915A1">
        <w:t>µ</w:t>
      </w:r>
      <w:r w:rsidRPr="00DE74BA">
        <w:t>g/gr creatinine</w:t>
      </w:r>
      <w:r>
        <w:t xml:space="preserve">) </w:t>
      </w:r>
      <w:r w:rsidRPr="006132DE">
        <w:t xml:space="preserve">at </w:t>
      </w:r>
      <w:r>
        <w:t xml:space="preserve">Monday </w:t>
      </w:r>
      <w:proofErr w:type="gramStart"/>
      <w:r>
        <w:t>morning .</w:t>
      </w:r>
      <w:proofErr w:type="gramEnd"/>
      <w:r>
        <w:t xml:space="preserve"> </w:t>
      </w:r>
      <w:r w:rsidRPr="00CC6471">
        <w:rPr>
          <w:b w:val="0"/>
          <w:bCs w:val="0"/>
        </w:rPr>
        <w:t xml:space="preserve">Exposure was assumed to occur </w:t>
      </w:r>
      <w:r>
        <w:rPr>
          <w:b w:val="0"/>
          <w:bCs w:val="0"/>
        </w:rPr>
        <w:t>on 5 days a week, for 8 hours a day (</w:t>
      </w:r>
      <w:r w:rsidRPr="00CC6471">
        <w:rPr>
          <w:b w:val="0"/>
          <w:bCs w:val="0"/>
        </w:rPr>
        <w:t>from 9:00 to 17:00</w:t>
      </w:r>
      <w:r>
        <w:rPr>
          <w:b w:val="0"/>
          <w:bCs w:val="0"/>
        </w:rPr>
        <w:t>),</w:t>
      </w:r>
      <w:r w:rsidRPr="00CC6471">
        <w:rPr>
          <w:b w:val="0"/>
          <w:bCs w:val="0"/>
        </w:rPr>
        <w:t xml:space="preserve"> </w:t>
      </w:r>
      <w:r>
        <w:rPr>
          <w:b w:val="0"/>
          <w:bCs w:val="0"/>
        </w:rPr>
        <w:t xml:space="preserve">for a period of 8 weeks, </w:t>
      </w:r>
      <w:r w:rsidRPr="00CC6471">
        <w:rPr>
          <w:b w:val="0"/>
          <w:bCs w:val="0"/>
        </w:rPr>
        <w:t xml:space="preserve">with </w:t>
      </w:r>
      <w:r>
        <w:rPr>
          <w:b w:val="0"/>
          <w:bCs w:val="0"/>
        </w:rPr>
        <w:t xml:space="preserve">daily </w:t>
      </w:r>
      <w:r w:rsidRPr="00CC6471">
        <w:rPr>
          <w:b w:val="0"/>
          <w:bCs w:val="0"/>
        </w:rPr>
        <w:t>urination at 8:00, 13:00, 18:00, and 23:00.</w:t>
      </w:r>
      <w:r>
        <w:rPr>
          <w:b w:val="0"/>
          <w:bCs w:val="0"/>
        </w:rPr>
        <w:t xml:space="preserve"> The total effect is comprised of the main effects (black bar) and possible interactions with other parameters (grey bar) given as the proportion of variance in the output parameter. The grey ribbon indicates the cumulative proportion of variance explained due to main effects and parameter interactions.</w:t>
      </w:r>
    </w:p>
    <w:p w14:paraId="5970401F" w14:textId="6BAD25AF" w:rsidR="003E0C95" w:rsidRDefault="003E0C95">
      <w:pPr>
        <w:rPr>
          <w:rFonts w:ascii="Times New Roman" w:eastAsia="Calibri" w:hAnsi="Times New Roman" w:cs="Times New Roman"/>
          <w:b/>
          <w:bCs/>
          <w:sz w:val="20"/>
          <w:lang w:val="en-GB"/>
        </w:rPr>
      </w:pPr>
      <w:r w:rsidRPr="00EA45CF">
        <w:rPr>
          <w:lang w:val="en-GB"/>
        </w:rPr>
        <w:br w:type="page"/>
      </w:r>
    </w:p>
    <w:p w14:paraId="4D4A5FA4" w14:textId="77777777" w:rsidR="004D7210" w:rsidRPr="00D1123F" w:rsidRDefault="004D7210" w:rsidP="004D7210">
      <w:pPr>
        <w:pStyle w:val="Caption"/>
      </w:pPr>
    </w:p>
    <w:p w14:paraId="4258CCB3" w14:textId="139A4F7A" w:rsidR="004D7210" w:rsidRPr="00E029B3" w:rsidRDefault="004D7210" w:rsidP="004D7210">
      <w:pPr>
        <w:pStyle w:val="Heading1"/>
        <w:rPr>
          <w:lang w:val="en-GB"/>
        </w:rPr>
      </w:pPr>
      <w:r>
        <w:rPr>
          <w:lang w:val="en-GB"/>
        </w:rPr>
        <w:t>Appendix</w:t>
      </w:r>
      <w:r w:rsidRPr="00E029B3">
        <w:rPr>
          <w:lang w:val="en-GB"/>
        </w:rPr>
        <w:t xml:space="preserve"> </w:t>
      </w:r>
      <w:r w:rsidR="00546D55">
        <w:rPr>
          <w:lang w:val="en-GB"/>
        </w:rPr>
        <w:t>H</w:t>
      </w:r>
      <w:r w:rsidRPr="00E029B3">
        <w:rPr>
          <w:lang w:val="en-GB"/>
        </w:rPr>
        <w:t xml:space="preserve"> – Temporal factors in exposure, analyses for MDI</w:t>
      </w:r>
    </w:p>
    <w:p w14:paraId="63B1D2AE" w14:textId="77777777" w:rsidR="004D7210" w:rsidRPr="00E029B3" w:rsidRDefault="004D7210" w:rsidP="004D7210">
      <w:pPr>
        <w:rPr>
          <w:lang w:val="en-GB"/>
        </w:rPr>
      </w:pPr>
    </w:p>
    <w:tbl>
      <w:tblPr>
        <w:tblStyle w:val="TableGrid"/>
        <w:tblW w:w="0" w:type="auto"/>
        <w:tblLook w:val="04A0" w:firstRow="1" w:lastRow="0" w:firstColumn="1" w:lastColumn="0" w:noHBand="0" w:noVBand="1"/>
      </w:tblPr>
      <w:tblGrid>
        <w:gridCol w:w="4508"/>
        <w:gridCol w:w="4508"/>
      </w:tblGrid>
      <w:tr w:rsidR="00052B0C" w14:paraId="29B10F25" w14:textId="77777777" w:rsidTr="005442CF">
        <w:tc>
          <w:tcPr>
            <w:tcW w:w="4508" w:type="dxa"/>
          </w:tcPr>
          <w:p w14:paraId="37EC4D61" w14:textId="77777777" w:rsidR="004D7210" w:rsidRDefault="004D7210" w:rsidP="005442CF">
            <w:pPr>
              <w:rPr>
                <w:noProof/>
              </w:rPr>
            </w:pPr>
            <w:r>
              <w:rPr>
                <w:noProof/>
              </w:rPr>
              <w:t>A</w:t>
            </w:r>
          </w:p>
          <w:p w14:paraId="2F601487" w14:textId="21E7AE33" w:rsidR="004D7210" w:rsidRDefault="004D7210" w:rsidP="005442CF"/>
          <w:p w14:paraId="7F6158DA" w14:textId="54ACA134" w:rsidR="00E1081D" w:rsidRDefault="00E1081D" w:rsidP="005442CF">
            <w:r>
              <w:rPr>
                <w:noProof/>
              </w:rPr>
              <w:drawing>
                <wp:inline distT="0" distB="0" distL="0" distR="0" wp14:anchorId="7113E7FD" wp14:editId="1EF92042">
                  <wp:extent cx="2721165" cy="2721165"/>
                  <wp:effectExtent l="0" t="0" r="317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2699" cy="2752699"/>
                          </a:xfrm>
                          <a:prstGeom prst="rect">
                            <a:avLst/>
                          </a:prstGeom>
                          <a:noFill/>
                          <a:ln>
                            <a:noFill/>
                          </a:ln>
                        </pic:spPr>
                      </pic:pic>
                    </a:graphicData>
                  </a:graphic>
                </wp:inline>
              </w:drawing>
            </w:r>
          </w:p>
        </w:tc>
        <w:tc>
          <w:tcPr>
            <w:tcW w:w="4508" w:type="dxa"/>
          </w:tcPr>
          <w:p w14:paraId="549AA27F" w14:textId="77777777" w:rsidR="004D7210" w:rsidRDefault="004D7210" w:rsidP="005442CF">
            <w:pPr>
              <w:rPr>
                <w:noProof/>
              </w:rPr>
            </w:pPr>
            <w:r>
              <w:rPr>
                <w:noProof/>
              </w:rPr>
              <w:t>B</w:t>
            </w:r>
          </w:p>
          <w:p w14:paraId="22C08365" w14:textId="50129AD1" w:rsidR="004D7210" w:rsidRDefault="004D7210" w:rsidP="005442CF"/>
          <w:p w14:paraId="4B58D35A" w14:textId="27289DD6" w:rsidR="00E1081D" w:rsidRDefault="00E1081D" w:rsidP="005442CF">
            <w:r>
              <w:rPr>
                <w:noProof/>
              </w:rPr>
              <w:drawing>
                <wp:inline distT="0" distB="0" distL="0" distR="0" wp14:anchorId="69A74688" wp14:editId="2B4C08C4">
                  <wp:extent cx="2715090" cy="2715090"/>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29958" cy="2729958"/>
                          </a:xfrm>
                          <a:prstGeom prst="rect">
                            <a:avLst/>
                          </a:prstGeom>
                          <a:noFill/>
                          <a:ln>
                            <a:noFill/>
                          </a:ln>
                        </pic:spPr>
                      </pic:pic>
                    </a:graphicData>
                  </a:graphic>
                </wp:inline>
              </w:drawing>
            </w:r>
          </w:p>
        </w:tc>
      </w:tr>
      <w:tr w:rsidR="00052B0C" w14:paraId="0264B3DB" w14:textId="77777777" w:rsidTr="005442CF">
        <w:tc>
          <w:tcPr>
            <w:tcW w:w="4508" w:type="dxa"/>
          </w:tcPr>
          <w:p w14:paraId="089EC40E" w14:textId="77777777" w:rsidR="004D7210" w:rsidRDefault="004D7210" w:rsidP="005442CF">
            <w:pPr>
              <w:rPr>
                <w:noProof/>
              </w:rPr>
            </w:pPr>
            <w:r>
              <w:rPr>
                <w:noProof/>
              </w:rPr>
              <w:t>C</w:t>
            </w:r>
          </w:p>
          <w:p w14:paraId="6026E926" w14:textId="74CA17EB" w:rsidR="004D7210" w:rsidRDefault="004D7210" w:rsidP="005442CF"/>
          <w:p w14:paraId="4DD3F6BF" w14:textId="7996D2BD" w:rsidR="00052B0C" w:rsidRDefault="00052B0C" w:rsidP="005442CF">
            <w:r>
              <w:rPr>
                <w:noProof/>
              </w:rPr>
              <w:drawing>
                <wp:inline distT="0" distB="0" distL="0" distR="0" wp14:anchorId="6B47EB7A" wp14:editId="1F44BE7A">
                  <wp:extent cx="2789281" cy="27892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03002" cy="2803002"/>
                          </a:xfrm>
                          <a:prstGeom prst="rect">
                            <a:avLst/>
                          </a:prstGeom>
                          <a:noFill/>
                          <a:ln>
                            <a:noFill/>
                          </a:ln>
                        </pic:spPr>
                      </pic:pic>
                    </a:graphicData>
                  </a:graphic>
                </wp:inline>
              </w:drawing>
            </w:r>
          </w:p>
        </w:tc>
        <w:tc>
          <w:tcPr>
            <w:tcW w:w="4508" w:type="dxa"/>
          </w:tcPr>
          <w:p w14:paraId="57ADD6ED" w14:textId="77777777" w:rsidR="004D7210" w:rsidRDefault="004D7210" w:rsidP="005442CF">
            <w:pPr>
              <w:keepNext/>
              <w:rPr>
                <w:noProof/>
              </w:rPr>
            </w:pPr>
            <w:r>
              <w:rPr>
                <w:noProof/>
              </w:rPr>
              <w:t>D</w:t>
            </w:r>
          </w:p>
          <w:p w14:paraId="431B1E42" w14:textId="080483F7" w:rsidR="004D7210" w:rsidRDefault="00052B0C" w:rsidP="005442CF">
            <w:pPr>
              <w:keepNext/>
            </w:pPr>
            <w:r>
              <w:t xml:space="preserve"> </w:t>
            </w:r>
            <w:r>
              <w:rPr>
                <w:noProof/>
              </w:rPr>
              <w:drawing>
                <wp:inline distT="0" distB="0" distL="0" distR="0" wp14:anchorId="4797E0FF" wp14:editId="0157C59D">
                  <wp:extent cx="2788920" cy="2788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95346" cy="2795346"/>
                          </a:xfrm>
                          <a:prstGeom prst="rect">
                            <a:avLst/>
                          </a:prstGeom>
                          <a:noFill/>
                          <a:ln>
                            <a:noFill/>
                          </a:ln>
                        </pic:spPr>
                      </pic:pic>
                    </a:graphicData>
                  </a:graphic>
                </wp:inline>
              </w:drawing>
            </w:r>
          </w:p>
        </w:tc>
      </w:tr>
    </w:tbl>
    <w:p w14:paraId="6C547EEB" w14:textId="3CAC809D" w:rsidR="004D7210" w:rsidRPr="007427D8" w:rsidRDefault="004D7210" w:rsidP="004D7210">
      <w:pPr>
        <w:pStyle w:val="Caption"/>
        <w:rPr>
          <w:lang w:val="en-US"/>
        </w:rPr>
      </w:pPr>
      <w:r w:rsidRPr="007427D8">
        <w:rPr>
          <w:lang w:val="en-US"/>
        </w:rPr>
        <w:t>Figure S</w:t>
      </w:r>
      <w:r w:rsidR="00546D55">
        <w:rPr>
          <w:lang w:val="en-US"/>
        </w:rPr>
        <w:t>6</w:t>
      </w:r>
      <w:r w:rsidRPr="007427D8">
        <w:rPr>
          <w:lang w:val="en-US"/>
        </w:rPr>
        <w:t xml:space="preserve">. </w:t>
      </w:r>
      <w:r>
        <w:rPr>
          <w:lang w:val="en-US"/>
        </w:rPr>
        <w:t xml:space="preserve">For the early </w:t>
      </w:r>
      <w:r w:rsidRPr="00582DE4">
        <w:rPr>
          <w:lang w:val="en-US"/>
        </w:rPr>
        <w:t>exposure scenario</w:t>
      </w:r>
      <w:r>
        <w:rPr>
          <w:lang w:val="en-US"/>
        </w:rPr>
        <w:t xml:space="preserve"> (A), exposure is from 9:00-13:00 and</w:t>
      </w:r>
      <w:r w:rsidRPr="00582DE4">
        <w:rPr>
          <w:lang w:val="en-US"/>
        </w:rPr>
        <w:t xml:space="preserve"> </w:t>
      </w:r>
      <w:r>
        <w:rPr>
          <w:lang w:val="en-US"/>
        </w:rPr>
        <w:t>urination at 8:00, 13:00, 18:00, and 23:00. For the late exposure scenario (B), exposure is from 13:00-17:00 and urination at 8:00, 13:00, 18:00, and 23:00. For the frequent urination scenario (C), exposure is from 9:00-17:00 and urination is at 8:00, 13:00, 18:00, and 23:00. For the infrequent urination</w:t>
      </w:r>
      <w:r w:rsidRPr="00582DE4">
        <w:rPr>
          <w:lang w:val="en-US"/>
        </w:rPr>
        <w:t xml:space="preserve"> scenario</w:t>
      </w:r>
      <w:r>
        <w:rPr>
          <w:lang w:val="en-US"/>
        </w:rPr>
        <w:t xml:space="preserve"> (D</w:t>
      </w:r>
      <w:proofErr w:type="gramStart"/>
      <w:r>
        <w:rPr>
          <w:lang w:val="en-US"/>
        </w:rPr>
        <w:t>)</w:t>
      </w:r>
      <w:bookmarkEnd w:id="2"/>
      <w:r w:rsidRPr="00B94DCC">
        <w:rPr>
          <w:lang w:val="en-US"/>
        </w:rPr>
        <w:t xml:space="preserve"> </w:t>
      </w:r>
      <w:r>
        <w:rPr>
          <w:lang w:val="en-US"/>
        </w:rPr>
        <w:t>,</w:t>
      </w:r>
      <w:proofErr w:type="gramEnd"/>
      <w:r>
        <w:rPr>
          <w:lang w:val="en-US"/>
        </w:rPr>
        <w:t xml:space="preserve"> exposure is from 9:00-17:00 and urination is at 8:00, 18:00, and 23:00.</w:t>
      </w:r>
    </w:p>
    <w:p w14:paraId="7F62A815" w14:textId="164CFC05" w:rsidR="00000000" w:rsidRDefault="00000000">
      <w:pPr>
        <w:rPr>
          <w:lang w:val="en-US"/>
        </w:rPr>
      </w:pPr>
    </w:p>
    <w:p w14:paraId="226CFAB9" w14:textId="49DB59CE" w:rsidR="006D20E6" w:rsidRDefault="006D20E6">
      <w:pPr>
        <w:rPr>
          <w:lang w:val="en-US"/>
        </w:rPr>
      </w:pPr>
      <w:r>
        <w:rPr>
          <w:lang w:val="en-US"/>
        </w:rPr>
        <w:br w:type="page"/>
      </w:r>
    </w:p>
    <w:p w14:paraId="7F11226D" w14:textId="1DDA3E05" w:rsidR="006D20E6" w:rsidRDefault="006D20E6" w:rsidP="006D20E6">
      <w:pPr>
        <w:pStyle w:val="Heading1"/>
        <w:rPr>
          <w:lang w:val="en-US"/>
        </w:rPr>
      </w:pPr>
      <w:r>
        <w:rPr>
          <w:lang w:val="en-US"/>
        </w:rPr>
        <w:lastRenderedPageBreak/>
        <w:t xml:space="preserve">References Appendix </w:t>
      </w:r>
    </w:p>
    <w:p w14:paraId="7656A848" w14:textId="043F67D1" w:rsidR="006D20E6" w:rsidRPr="00D01C6A" w:rsidRDefault="006D20E6" w:rsidP="006D20E6">
      <w:pPr>
        <w:widowControl w:val="0"/>
        <w:autoSpaceDE w:val="0"/>
        <w:autoSpaceDN w:val="0"/>
        <w:adjustRightInd w:val="0"/>
        <w:spacing w:line="240" w:lineRule="auto"/>
        <w:ind w:left="480" w:hanging="480"/>
        <w:rPr>
          <w:rFonts w:ascii="Calibri" w:hAnsi="Calibri" w:cs="Calibri"/>
          <w:noProof/>
          <w:szCs w:val="24"/>
          <w:lang w:val="en-GB"/>
        </w:rPr>
      </w:pPr>
      <w:r>
        <w:rPr>
          <w:lang w:val="en-US"/>
        </w:rPr>
        <w:fldChar w:fldCharType="begin" w:fldLock="1"/>
      </w:r>
      <w:r>
        <w:rPr>
          <w:lang w:val="en-US"/>
        </w:rPr>
        <w:instrText xml:space="preserve">ADDIN Mendeley Bibliography CSL_BIBLIOGRAPHY </w:instrText>
      </w:r>
      <w:r>
        <w:rPr>
          <w:lang w:val="en-US"/>
        </w:rPr>
        <w:fldChar w:fldCharType="separate"/>
      </w:r>
      <w:r w:rsidRPr="00D01C6A">
        <w:rPr>
          <w:rFonts w:ascii="Calibri" w:hAnsi="Calibri" w:cs="Calibri"/>
          <w:noProof/>
          <w:szCs w:val="24"/>
          <w:lang w:val="en-GB"/>
        </w:rPr>
        <w:t xml:space="preserve">Austin, Shaun. 2007. “Biological Monitoring of TDI-Derived Amines in Polyurethane Foam Production.” </w:t>
      </w:r>
      <w:r w:rsidRPr="00D01C6A">
        <w:rPr>
          <w:rFonts w:ascii="Calibri" w:hAnsi="Calibri" w:cs="Calibri"/>
          <w:i/>
          <w:iCs/>
          <w:noProof/>
          <w:szCs w:val="24"/>
          <w:lang w:val="en-GB"/>
        </w:rPr>
        <w:t>Occupational Medicine</w:t>
      </w:r>
      <w:r w:rsidRPr="00D01C6A">
        <w:rPr>
          <w:rFonts w:ascii="Calibri" w:hAnsi="Calibri" w:cs="Calibri"/>
          <w:noProof/>
          <w:szCs w:val="24"/>
          <w:lang w:val="en-GB"/>
        </w:rPr>
        <w:t>. https://doi.org/10.1093/occmed/kqm085.</w:t>
      </w:r>
    </w:p>
    <w:p w14:paraId="7582BA74" w14:textId="77777777" w:rsidR="006D20E6" w:rsidRPr="00D01C6A" w:rsidRDefault="006D20E6" w:rsidP="006D20E6">
      <w:pPr>
        <w:widowControl w:val="0"/>
        <w:autoSpaceDE w:val="0"/>
        <w:autoSpaceDN w:val="0"/>
        <w:adjustRightInd w:val="0"/>
        <w:spacing w:line="240" w:lineRule="auto"/>
        <w:ind w:left="480" w:hanging="480"/>
        <w:rPr>
          <w:rFonts w:ascii="Calibri" w:hAnsi="Calibri" w:cs="Calibri"/>
          <w:noProof/>
          <w:szCs w:val="24"/>
          <w:lang w:val="en-GB"/>
        </w:rPr>
      </w:pPr>
      <w:r w:rsidRPr="00D01C6A">
        <w:rPr>
          <w:rFonts w:ascii="Calibri" w:hAnsi="Calibri" w:cs="Calibri"/>
          <w:noProof/>
          <w:szCs w:val="24"/>
          <w:lang w:val="en-GB"/>
        </w:rPr>
        <w:t xml:space="preserve">Bello, Anila, Yalong Xue, Rebecca Gore, Susan Woskie, and Dhimiter Bello. 2019. “Assessment and Control of Exposures to Polymeric Methylene Diphenyl Diisocyanate (PMDI) in Spray Polyurethane Foam Applicators.” </w:t>
      </w:r>
      <w:r w:rsidRPr="00D01C6A">
        <w:rPr>
          <w:rFonts w:ascii="Calibri" w:hAnsi="Calibri" w:cs="Calibri"/>
          <w:i/>
          <w:iCs/>
          <w:noProof/>
          <w:szCs w:val="24"/>
          <w:lang w:val="en-GB"/>
        </w:rPr>
        <w:t>International Journal of Hygiene and Environmental Health</w:t>
      </w:r>
      <w:r w:rsidRPr="00D01C6A">
        <w:rPr>
          <w:rFonts w:ascii="Calibri" w:hAnsi="Calibri" w:cs="Calibri"/>
          <w:noProof/>
          <w:szCs w:val="24"/>
          <w:lang w:val="en-GB"/>
        </w:rPr>
        <w:t xml:space="preserve"> 222 (5): 804–15. https://doi.org/10.1016/J.IJHEH.2019.04.014.</w:t>
      </w:r>
    </w:p>
    <w:p w14:paraId="3337EE5A" w14:textId="77777777" w:rsidR="006D20E6" w:rsidRPr="00D01C6A" w:rsidRDefault="006D20E6" w:rsidP="006D20E6">
      <w:pPr>
        <w:widowControl w:val="0"/>
        <w:autoSpaceDE w:val="0"/>
        <w:autoSpaceDN w:val="0"/>
        <w:adjustRightInd w:val="0"/>
        <w:spacing w:line="240" w:lineRule="auto"/>
        <w:ind w:left="480" w:hanging="480"/>
        <w:rPr>
          <w:rFonts w:ascii="Calibri" w:hAnsi="Calibri" w:cs="Calibri"/>
          <w:noProof/>
          <w:szCs w:val="24"/>
          <w:lang w:val="en-GB"/>
        </w:rPr>
      </w:pPr>
      <w:r w:rsidRPr="00D01C6A">
        <w:rPr>
          <w:rFonts w:ascii="Calibri" w:hAnsi="Calibri" w:cs="Calibri"/>
          <w:noProof/>
          <w:szCs w:val="24"/>
          <w:lang w:val="en-GB"/>
        </w:rPr>
        <w:t xml:space="preserve">Brorson, Torbjorn, Gunnar Skarping, and Carsten Sango. 1991. “Biological Monitoring of Isocyanates and Related Amines.” </w:t>
      </w:r>
      <w:r w:rsidRPr="00D01C6A">
        <w:rPr>
          <w:rFonts w:ascii="Calibri" w:hAnsi="Calibri" w:cs="Calibri"/>
          <w:i/>
          <w:iCs/>
          <w:noProof/>
          <w:szCs w:val="24"/>
          <w:lang w:val="en-GB"/>
        </w:rPr>
        <w:t>International Archives of Occupational and Environmental Health</w:t>
      </w:r>
      <w:r w:rsidRPr="00D01C6A">
        <w:rPr>
          <w:rFonts w:ascii="Calibri" w:hAnsi="Calibri" w:cs="Calibri"/>
          <w:noProof/>
          <w:szCs w:val="24"/>
          <w:lang w:val="en-GB"/>
        </w:rPr>
        <w:t>. https://doi.org/10.1007/bf00386374.</w:t>
      </w:r>
    </w:p>
    <w:p w14:paraId="03BFB011" w14:textId="77777777" w:rsidR="006D20E6" w:rsidRPr="00D01C6A" w:rsidRDefault="006D20E6" w:rsidP="006D20E6">
      <w:pPr>
        <w:widowControl w:val="0"/>
        <w:autoSpaceDE w:val="0"/>
        <w:autoSpaceDN w:val="0"/>
        <w:adjustRightInd w:val="0"/>
        <w:spacing w:line="240" w:lineRule="auto"/>
        <w:ind w:left="480" w:hanging="480"/>
        <w:rPr>
          <w:rFonts w:ascii="Calibri" w:hAnsi="Calibri" w:cs="Calibri"/>
          <w:noProof/>
          <w:szCs w:val="24"/>
          <w:lang w:val="en-GB"/>
        </w:rPr>
      </w:pPr>
      <w:r w:rsidRPr="00D01C6A">
        <w:rPr>
          <w:rFonts w:ascii="Calibri" w:hAnsi="Calibri" w:cs="Calibri"/>
          <w:noProof/>
          <w:szCs w:val="24"/>
          <w:lang w:val="en-GB"/>
        </w:rPr>
        <w:t xml:space="preserve">Budnik, Lygia T., Dennis Nowak, Rolf Merget, Catherine Lemiere, and Xaver Baur. 2011. “Elimination Kinetics of Diisocyanates after Specific Inhalative Challenges in Humans: Mass Spectrometry Analysis, as a Basis for Biomonitoring Strategies.” </w:t>
      </w:r>
      <w:r w:rsidRPr="00D01C6A">
        <w:rPr>
          <w:rFonts w:ascii="Calibri" w:hAnsi="Calibri" w:cs="Calibri"/>
          <w:i/>
          <w:iCs/>
          <w:noProof/>
          <w:szCs w:val="24"/>
          <w:lang w:val="en-GB"/>
        </w:rPr>
        <w:t>Journal of Occupational Medicine and Toxicology</w:t>
      </w:r>
      <w:r w:rsidRPr="00D01C6A">
        <w:rPr>
          <w:rFonts w:ascii="Calibri" w:hAnsi="Calibri" w:cs="Calibri"/>
          <w:noProof/>
          <w:szCs w:val="24"/>
          <w:lang w:val="en-GB"/>
        </w:rPr>
        <w:t>. https://doi.org/10.1186/1745-6673-6-9.</w:t>
      </w:r>
    </w:p>
    <w:p w14:paraId="6BD22695" w14:textId="77777777" w:rsidR="006D20E6" w:rsidRPr="00D01C6A" w:rsidRDefault="006D20E6" w:rsidP="006D20E6">
      <w:pPr>
        <w:widowControl w:val="0"/>
        <w:autoSpaceDE w:val="0"/>
        <w:autoSpaceDN w:val="0"/>
        <w:adjustRightInd w:val="0"/>
        <w:spacing w:line="240" w:lineRule="auto"/>
        <w:ind w:left="480" w:hanging="480"/>
        <w:rPr>
          <w:rFonts w:ascii="Calibri" w:hAnsi="Calibri" w:cs="Calibri"/>
          <w:noProof/>
          <w:szCs w:val="24"/>
          <w:lang w:val="en-GB"/>
        </w:rPr>
      </w:pPr>
      <w:r w:rsidRPr="00D01C6A">
        <w:rPr>
          <w:rFonts w:ascii="Calibri" w:hAnsi="Calibri" w:cs="Calibri"/>
          <w:noProof/>
          <w:szCs w:val="24"/>
          <w:lang w:val="en-GB"/>
        </w:rPr>
        <w:t xml:space="preserve">Geens, Tom, Sandra Dugardin, Ann Schockaert, Geert De Cooman, and Marc Van Sprundel. 2012. “Air Exposure Assessment of TDI and Biological Monitoring of TDA in Urine in Workers in Polyurethane Foam Industry.” </w:t>
      </w:r>
      <w:r w:rsidRPr="00D01C6A">
        <w:rPr>
          <w:rFonts w:ascii="Calibri" w:hAnsi="Calibri" w:cs="Calibri"/>
          <w:i/>
          <w:iCs/>
          <w:noProof/>
          <w:szCs w:val="24"/>
          <w:lang w:val="en-GB"/>
        </w:rPr>
        <w:t>Occupational and Environmental Medicine</w:t>
      </w:r>
      <w:r w:rsidRPr="00D01C6A">
        <w:rPr>
          <w:rFonts w:ascii="Calibri" w:hAnsi="Calibri" w:cs="Calibri"/>
          <w:noProof/>
          <w:szCs w:val="24"/>
          <w:lang w:val="en-GB"/>
        </w:rPr>
        <w:t xml:space="preserve"> 69 (2): 93–98. https://doi.org/10.1136/OEM.2011.064840.</w:t>
      </w:r>
    </w:p>
    <w:p w14:paraId="781F1AFC" w14:textId="77777777" w:rsidR="006D20E6" w:rsidRPr="00D01C6A" w:rsidRDefault="006D20E6" w:rsidP="006D20E6">
      <w:pPr>
        <w:widowControl w:val="0"/>
        <w:autoSpaceDE w:val="0"/>
        <w:autoSpaceDN w:val="0"/>
        <w:adjustRightInd w:val="0"/>
        <w:spacing w:line="240" w:lineRule="auto"/>
        <w:ind w:left="480" w:hanging="480"/>
        <w:rPr>
          <w:rFonts w:ascii="Calibri" w:hAnsi="Calibri" w:cs="Calibri"/>
          <w:noProof/>
          <w:szCs w:val="24"/>
          <w:lang w:val="en-GB"/>
        </w:rPr>
      </w:pPr>
      <w:r w:rsidRPr="00D01C6A">
        <w:rPr>
          <w:rFonts w:ascii="Calibri" w:hAnsi="Calibri" w:cs="Calibri"/>
          <w:noProof/>
          <w:szCs w:val="24"/>
          <w:lang w:val="en-GB"/>
        </w:rPr>
        <w:t xml:space="preserve">Gledhill, A., A. Wake, P. Hext, E. Leibold, and R. Shiotsuka. 2008. “Absorption, Distribution, Metabolism and Excretion of an Inhalation Dose of [14C] 4,4’-Methylenediphenyl Diisocyanate in the Male Rat.” </w:t>
      </w:r>
      <w:r w:rsidRPr="00D01C6A">
        <w:rPr>
          <w:rFonts w:ascii="Calibri" w:hAnsi="Calibri" w:cs="Calibri"/>
          <w:i/>
          <w:iCs/>
          <w:noProof/>
          <w:szCs w:val="24"/>
          <w:lang w:val="en-GB"/>
        </w:rPr>
        <w:t>Http://Dx.Doi.Org/10.1080/00498250500057591</w:t>
      </w:r>
      <w:r w:rsidRPr="00D01C6A">
        <w:rPr>
          <w:rFonts w:ascii="Calibri" w:hAnsi="Calibri" w:cs="Calibri"/>
          <w:noProof/>
          <w:szCs w:val="24"/>
          <w:lang w:val="en-GB"/>
        </w:rPr>
        <w:t xml:space="preserve"> 35 (3): 273–92. https://doi.org/10.1080/00498250500057591.</w:t>
      </w:r>
    </w:p>
    <w:p w14:paraId="5C5B354C" w14:textId="77777777" w:rsidR="006D20E6" w:rsidRPr="00D01C6A" w:rsidRDefault="006D20E6" w:rsidP="006D20E6">
      <w:pPr>
        <w:widowControl w:val="0"/>
        <w:autoSpaceDE w:val="0"/>
        <w:autoSpaceDN w:val="0"/>
        <w:adjustRightInd w:val="0"/>
        <w:spacing w:line="240" w:lineRule="auto"/>
        <w:ind w:left="480" w:hanging="480"/>
        <w:rPr>
          <w:rFonts w:ascii="Calibri" w:hAnsi="Calibri" w:cs="Calibri"/>
          <w:noProof/>
          <w:szCs w:val="24"/>
          <w:lang w:val="en-GB"/>
        </w:rPr>
      </w:pPr>
      <w:r w:rsidRPr="00D01C6A">
        <w:rPr>
          <w:rFonts w:ascii="Calibri" w:hAnsi="Calibri" w:cs="Calibri"/>
          <w:noProof/>
          <w:szCs w:val="24"/>
          <w:lang w:val="en-GB"/>
        </w:rPr>
        <w:t xml:space="preserve">Henriks-Eckerman, Maj Len, Erja A. Mäkelä, Juha Laitinen, Katriina Ylinen, Katri Suuronen, Aki Vuokko, and Riitta Sauni. 2015. “Role of Dermal Exposure in Systemic Intake of Methylenediphenyl Diisocyanate (MDI) among Construction and Boat Building Workers.” </w:t>
      </w:r>
      <w:r w:rsidRPr="00D01C6A">
        <w:rPr>
          <w:rFonts w:ascii="Calibri" w:hAnsi="Calibri" w:cs="Calibri"/>
          <w:i/>
          <w:iCs/>
          <w:noProof/>
          <w:szCs w:val="24"/>
          <w:lang w:val="en-GB"/>
        </w:rPr>
        <w:t>Toxicology Letters</w:t>
      </w:r>
      <w:r w:rsidRPr="00D01C6A">
        <w:rPr>
          <w:rFonts w:ascii="Calibri" w:hAnsi="Calibri" w:cs="Calibri"/>
          <w:noProof/>
          <w:szCs w:val="24"/>
          <w:lang w:val="en-GB"/>
        </w:rPr>
        <w:t xml:space="preserve"> 232 (3): 595–600. https://doi.org/10.1016/J.TOXLET.2014.12.012.</w:t>
      </w:r>
    </w:p>
    <w:p w14:paraId="32189946" w14:textId="77777777" w:rsidR="006D20E6" w:rsidRPr="00D01C6A" w:rsidRDefault="006D20E6" w:rsidP="006D20E6">
      <w:pPr>
        <w:widowControl w:val="0"/>
        <w:autoSpaceDE w:val="0"/>
        <w:autoSpaceDN w:val="0"/>
        <w:adjustRightInd w:val="0"/>
        <w:spacing w:line="240" w:lineRule="auto"/>
        <w:ind w:left="480" w:hanging="480"/>
        <w:rPr>
          <w:rFonts w:ascii="Calibri" w:hAnsi="Calibri" w:cs="Calibri"/>
          <w:noProof/>
          <w:szCs w:val="24"/>
          <w:lang w:val="en-GB"/>
        </w:rPr>
      </w:pPr>
      <w:r w:rsidRPr="00D01C6A">
        <w:rPr>
          <w:rFonts w:ascii="Calibri" w:hAnsi="Calibri" w:cs="Calibri"/>
          <w:noProof/>
          <w:szCs w:val="24"/>
          <w:lang w:val="en-GB"/>
        </w:rPr>
        <w:t xml:space="preserve">Hettick, J, and P.D Siegel. 2011. “Determination of the Toluene Diisocyanate Binding Sites on Human Serum Albumin by Tandem Mass Spectrometry.” </w:t>
      </w:r>
      <w:r w:rsidRPr="00D01C6A">
        <w:rPr>
          <w:rFonts w:ascii="Calibri" w:hAnsi="Calibri" w:cs="Calibri"/>
          <w:i/>
          <w:iCs/>
          <w:noProof/>
          <w:szCs w:val="24"/>
          <w:lang w:val="en-GB"/>
        </w:rPr>
        <w:t>Analytical Biochemistry</w:t>
      </w:r>
      <w:r w:rsidRPr="00D01C6A">
        <w:rPr>
          <w:rFonts w:ascii="Calibri" w:hAnsi="Calibri" w:cs="Calibri"/>
          <w:noProof/>
          <w:szCs w:val="24"/>
          <w:lang w:val="en-GB"/>
        </w:rPr>
        <w:t xml:space="preserve"> 414.2: 232–38.</w:t>
      </w:r>
    </w:p>
    <w:p w14:paraId="74BCE526" w14:textId="77777777" w:rsidR="006D20E6" w:rsidRPr="00D01C6A" w:rsidRDefault="006D20E6" w:rsidP="006D20E6">
      <w:pPr>
        <w:widowControl w:val="0"/>
        <w:autoSpaceDE w:val="0"/>
        <w:autoSpaceDN w:val="0"/>
        <w:adjustRightInd w:val="0"/>
        <w:spacing w:line="240" w:lineRule="auto"/>
        <w:ind w:left="480" w:hanging="480"/>
        <w:rPr>
          <w:rFonts w:ascii="Calibri" w:hAnsi="Calibri" w:cs="Calibri"/>
          <w:noProof/>
          <w:szCs w:val="24"/>
          <w:lang w:val="en-GB"/>
        </w:rPr>
      </w:pPr>
      <w:r w:rsidRPr="00D01C6A">
        <w:rPr>
          <w:rFonts w:ascii="Calibri" w:hAnsi="Calibri" w:cs="Calibri"/>
          <w:noProof/>
          <w:szCs w:val="24"/>
          <w:lang w:val="en-GB"/>
        </w:rPr>
        <w:t xml:space="preserve">Kääriä, K, A Hirvonen, H Norppa, P Piirilä, H Vainio, and C Rosenberg. 2001. “Exposure to 2,4- and 2,6-Toluene Diisocyanate (TDI) during Production of Flexible Foam: Determination of Airborne TDI and Urinary 2,4- and 2,6-Toluenediamine (TDA).” </w:t>
      </w:r>
      <w:r w:rsidRPr="00D01C6A">
        <w:rPr>
          <w:rFonts w:ascii="Calibri" w:hAnsi="Calibri" w:cs="Calibri"/>
          <w:i/>
          <w:iCs/>
          <w:noProof/>
          <w:szCs w:val="24"/>
          <w:lang w:val="en-GB"/>
        </w:rPr>
        <w:t>Analyst</w:t>
      </w:r>
      <w:r w:rsidRPr="00D01C6A">
        <w:rPr>
          <w:rFonts w:ascii="Calibri" w:hAnsi="Calibri" w:cs="Calibri"/>
          <w:noProof/>
          <w:szCs w:val="24"/>
          <w:lang w:val="en-GB"/>
        </w:rPr>
        <w:t xml:space="preserve"> 126 (7): 1.</w:t>
      </w:r>
    </w:p>
    <w:p w14:paraId="0DAFD107" w14:textId="77777777" w:rsidR="006D20E6" w:rsidRPr="00D01C6A" w:rsidRDefault="006D20E6" w:rsidP="006D20E6">
      <w:pPr>
        <w:widowControl w:val="0"/>
        <w:autoSpaceDE w:val="0"/>
        <w:autoSpaceDN w:val="0"/>
        <w:adjustRightInd w:val="0"/>
        <w:spacing w:line="240" w:lineRule="auto"/>
        <w:ind w:left="480" w:hanging="480"/>
        <w:rPr>
          <w:rFonts w:ascii="Calibri" w:hAnsi="Calibri" w:cs="Calibri"/>
          <w:noProof/>
          <w:szCs w:val="24"/>
          <w:lang w:val="en-GB"/>
        </w:rPr>
      </w:pPr>
      <w:r w:rsidRPr="00D01C6A">
        <w:rPr>
          <w:rFonts w:ascii="Calibri" w:hAnsi="Calibri" w:cs="Calibri"/>
          <w:noProof/>
          <w:szCs w:val="24"/>
          <w:lang w:val="en-GB"/>
        </w:rPr>
        <w:t xml:space="preserve">Maître, A., M. Berode, A. Perdrix, S. Romazini, and H. Savolainen. 1993. “Biological Monitoring of Occupational Exposure to Toluene Diisocyanate.” </w:t>
      </w:r>
      <w:r w:rsidRPr="00D01C6A">
        <w:rPr>
          <w:rFonts w:ascii="Calibri" w:hAnsi="Calibri" w:cs="Calibri"/>
          <w:i/>
          <w:iCs/>
          <w:noProof/>
          <w:szCs w:val="24"/>
          <w:lang w:val="en-GB"/>
        </w:rPr>
        <w:t>International Archives of Occupational and Environmental Health 1993 65:2</w:t>
      </w:r>
      <w:r w:rsidRPr="00D01C6A">
        <w:rPr>
          <w:rFonts w:ascii="Calibri" w:hAnsi="Calibri" w:cs="Calibri"/>
          <w:noProof/>
          <w:szCs w:val="24"/>
          <w:lang w:val="en-GB"/>
        </w:rPr>
        <w:t xml:space="preserve"> 65 (2): 97–100. https://doi.org/10.1007/BF00405726.</w:t>
      </w:r>
    </w:p>
    <w:p w14:paraId="2CF2B483" w14:textId="77777777" w:rsidR="006D20E6" w:rsidRPr="00D01C6A" w:rsidRDefault="006D20E6" w:rsidP="006D20E6">
      <w:pPr>
        <w:widowControl w:val="0"/>
        <w:autoSpaceDE w:val="0"/>
        <w:autoSpaceDN w:val="0"/>
        <w:adjustRightInd w:val="0"/>
        <w:spacing w:line="240" w:lineRule="auto"/>
        <w:ind w:left="480" w:hanging="480"/>
        <w:rPr>
          <w:rFonts w:ascii="Calibri" w:hAnsi="Calibri" w:cs="Calibri"/>
          <w:noProof/>
          <w:szCs w:val="24"/>
          <w:lang w:val="en-GB"/>
        </w:rPr>
      </w:pPr>
      <w:r w:rsidRPr="00D01C6A">
        <w:rPr>
          <w:rFonts w:ascii="Calibri" w:hAnsi="Calibri" w:cs="Calibri"/>
          <w:noProof/>
          <w:szCs w:val="24"/>
          <w:lang w:val="en-GB"/>
        </w:rPr>
        <w:t xml:space="preserve">Sennbro, C. J., C. H. Lindh, C. Mattsson, B. A.G. Jönsson, and H. Tinnerberg. 2006. “Biological Monitoring of Exposure to 1,5-Naphthalene Diisocyanate and 4,4′-Methylenediphenyl Diisocyanate.” </w:t>
      </w:r>
      <w:r w:rsidRPr="00D01C6A">
        <w:rPr>
          <w:rFonts w:ascii="Calibri" w:hAnsi="Calibri" w:cs="Calibri"/>
          <w:i/>
          <w:iCs/>
          <w:noProof/>
          <w:szCs w:val="24"/>
          <w:lang w:val="en-GB"/>
        </w:rPr>
        <w:t>International Archives of Occupational and Environmental Health</w:t>
      </w:r>
      <w:r w:rsidRPr="00D01C6A">
        <w:rPr>
          <w:rFonts w:ascii="Calibri" w:hAnsi="Calibri" w:cs="Calibri"/>
          <w:noProof/>
          <w:szCs w:val="24"/>
          <w:lang w:val="en-GB"/>
        </w:rPr>
        <w:t xml:space="preserve"> 79 (8): 647–53. https://doi.org/10.1007/S00420-006-0096-5/FIGURES/2.</w:t>
      </w:r>
    </w:p>
    <w:p w14:paraId="7603DD8D" w14:textId="77777777" w:rsidR="006D20E6" w:rsidRPr="00D01C6A" w:rsidRDefault="006D20E6" w:rsidP="006D20E6">
      <w:pPr>
        <w:widowControl w:val="0"/>
        <w:autoSpaceDE w:val="0"/>
        <w:autoSpaceDN w:val="0"/>
        <w:adjustRightInd w:val="0"/>
        <w:spacing w:line="240" w:lineRule="auto"/>
        <w:ind w:left="480" w:hanging="480"/>
        <w:rPr>
          <w:rFonts w:ascii="Calibri" w:hAnsi="Calibri" w:cs="Calibri"/>
          <w:noProof/>
          <w:szCs w:val="24"/>
          <w:lang w:val="en-GB"/>
        </w:rPr>
      </w:pPr>
      <w:r w:rsidRPr="00D01C6A">
        <w:rPr>
          <w:rFonts w:ascii="Calibri" w:hAnsi="Calibri" w:cs="Calibri"/>
          <w:noProof/>
          <w:szCs w:val="24"/>
          <w:lang w:val="en-GB"/>
        </w:rPr>
        <w:t xml:space="preserve">Sennbro, Carl J., Christian H. Lindh, Anders Östin, Hans Welinder, Bo A.G. Jönsson, and Håkan Tinnerberg. 2004. “A Survey of Airborne Isocyanate Exposure in 13 Swedish Polyurethane Industries.” </w:t>
      </w:r>
      <w:r w:rsidRPr="00D01C6A">
        <w:rPr>
          <w:rFonts w:ascii="Calibri" w:hAnsi="Calibri" w:cs="Calibri"/>
          <w:i/>
          <w:iCs/>
          <w:noProof/>
          <w:szCs w:val="24"/>
          <w:lang w:val="en-GB"/>
        </w:rPr>
        <w:t>The Annals of Occupational Hygiene</w:t>
      </w:r>
      <w:r w:rsidRPr="00D01C6A">
        <w:rPr>
          <w:rFonts w:ascii="Calibri" w:hAnsi="Calibri" w:cs="Calibri"/>
          <w:noProof/>
          <w:szCs w:val="24"/>
          <w:lang w:val="en-GB"/>
        </w:rPr>
        <w:t xml:space="preserve"> 48 (5): 405–14. https://doi.org/10.1093/ANNHYG/MEH034.</w:t>
      </w:r>
    </w:p>
    <w:p w14:paraId="0D5773DF" w14:textId="77777777" w:rsidR="006D20E6" w:rsidRPr="00D01C6A" w:rsidRDefault="006D20E6" w:rsidP="006D20E6">
      <w:pPr>
        <w:widowControl w:val="0"/>
        <w:autoSpaceDE w:val="0"/>
        <w:autoSpaceDN w:val="0"/>
        <w:adjustRightInd w:val="0"/>
        <w:spacing w:line="240" w:lineRule="auto"/>
        <w:ind w:left="480" w:hanging="480"/>
        <w:rPr>
          <w:rFonts w:ascii="Calibri" w:hAnsi="Calibri" w:cs="Calibri"/>
          <w:noProof/>
          <w:szCs w:val="24"/>
          <w:lang w:val="en-GB"/>
        </w:rPr>
      </w:pPr>
      <w:r w:rsidRPr="00D01C6A">
        <w:rPr>
          <w:rFonts w:ascii="Calibri" w:hAnsi="Calibri" w:cs="Calibri"/>
          <w:noProof/>
          <w:szCs w:val="24"/>
          <w:lang w:val="en-GB"/>
        </w:rPr>
        <w:t xml:space="preserve">Skarping, Gunnar, Torhjörn Brorson, and Carsten Sangö. 1991. “Biological Monitoring of Isocyanates and Related Amines.” </w:t>
      </w:r>
      <w:r w:rsidRPr="00D01C6A">
        <w:rPr>
          <w:rFonts w:ascii="Calibri" w:hAnsi="Calibri" w:cs="Calibri"/>
          <w:i/>
          <w:iCs/>
          <w:noProof/>
          <w:szCs w:val="24"/>
          <w:lang w:val="en-GB"/>
        </w:rPr>
        <w:t xml:space="preserve">International Archives of Occupational and Environmental Health 1991 </w:t>
      </w:r>
      <w:r w:rsidRPr="00D01C6A">
        <w:rPr>
          <w:rFonts w:ascii="Calibri" w:hAnsi="Calibri" w:cs="Calibri"/>
          <w:i/>
          <w:iCs/>
          <w:noProof/>
          <w:szCs w:val="24"/>
          <w:lang w:val="en-GB"/>
        </w:rPr>
        <w:lastRenderedPageBreak/>
        <w:t>63:2</w:t>
      </w:r>
      <w:r w:rsidRPr="00D01C6A">
        <w:rPr>
          <w:rFonts w:ascii="Calibri" w:hAnsi="Calibri" w:cs="Calibri"/>
          <w:noProof/>
          <w:szCs w:val="24"/>
          <w:lang w:val="en-GB"/>
        </w:rPr>
        <w:t xml:space="preserve"> 63 (2): 83–88. https://doi.org/10.1007/BF00379069.</w:t>
      </w:r>
    </w:p>
    <w:p w14:paraId="6F04D90C" w14:textId="77777777" w:rsidR="006D20E6" w:rsidRPr="00D01C6A" w:rsidRDefault="006D20E6" w:rsidP="006D20E6">
      <w:pPr>
        <w:widowControl w:val="0"/>
        <w:autoSpaceDE w:val="0"/>
        <w:autoSpaceDN w:val="0"/>
        <w:adjustRightInd w:val="0"/>
        <w:spacing w:line="240" w:lineRule="auto"/>
        <w:ind w:left="480" w:hanging="480"/>
        <w:rPr>
          <w:rFonts w:ascii="Calibri" w:hAnsi="Calibri" w:cs="Calibri"/>
          <w:noProof/>
          <w:szCs w:val="24"/>
          <w:lang w:val="en-GB"/>
        </w:rPr>
      </w:pPr>
      <w:r w:rsidRPr="00D01C6A">
        <w:rPr>
          <w:rFonts w:ascii="Calibri" w:hAnsi="Calibri" w:cs="Calibri"/>
          <w:noProof/>
          <w:szCs w:val="24"/>
          <w:lang w:val="en-GB"/>
        </w:rPr>
        <w:t xml:space="preserve">Swierczyńska-Machura, Dominika, Sławomir Brzeźnicki, Ewa Nowakowska-Swirta, and Jolanta Walusiak-Skorupa. 2015. “Occupational Exposure to Diisocyanates in Polyurethane Foam Factory Workers Good Practice in Occupational Health Services: Recommendations for Prophylactic Examinations in Patients with Diabetes Mellitus View Project Prevention of Hypertension and Diabetes in Occupational Prophylactic Care View Project.” </w:t>
      </w:r>
      <w:r w:rsidRPr="00D01C6A">
        <w:rPr>
          <w:rFonts w:ascii="Calibri" w:hAnsi="Calibri" w:cs="Calibri"/>
          <w:i/>
          <w:iCs/>
          <w:noProof/>
          <w:szCs w:val="24"/>
          <w:lang w:val="en-GB"/>
        </w:rPr>
        <w:t>Article in International Journal of Occupational Medicine and Environmental Health</w:t>
      </w:r>
      <w:r w:rsidRPr="00D01C6A">
        <w:rPr>
          <w:rFonts w:ascii="Calibri" w:hAnsi="Calibri" w:cs="Calibri"/>
          <w:noProof/>
          <w:szCs w:val="24"/>
          <w:lang w:val="en-GB"/>
        </w:rPr>
        <w:t>. https://doi.org/10.13075/ijomeh.1896.00284.</w:t>
      </w:r>
    </w:p>
    <w:p w14:paraId="2807938D" w14:textId="77777777" w:rsidR="006D20E6" w:rsidRPr="00D01C6A" w:rsidRDefault="006D20E6" w:rsidP="006D20E6">
      <w:pPr>
        <w:widowControl w:val="0"/>
        <w:autoSpaceDE w:val="0"/>
        <w:autoSpaceDN w:val="0"/>
        <w:adjustRightInd w:val="0"/>
        <w:spacing w:line="240" w:lineRule="auto"/>
        <w:ind w:left="480" w:hanging="480"/>
        <w:rPr>
          <w:rFonts w:ascii="Calibri" w:hAnsi="Calibri" w:cs="Calibri"/>
          <w:noProof/>
          <w:szCs w:val="24"/>
          <w:lang w:val="en-GB"/>
        </w:rPr>
      </w:pPr>
      <w:r w:rsidRPr="00D01C6A">
        <w:rPr>
          <w:rFonts w:ascii="Calibri" w:hAnsi="Calibri" w:cs="Calibri"/>
          <w:noProof/>
          <w:szCs w:val="24"/>
          <w:lang w:val="en-GB"/>
        </w:rPr>
        <w:t xml:space="preserve">Timchalk, C., F. A. Smith, and M. J. Bartels. 1994. “Route-Dependent Comparative Metabolism of [14C]Toluene 2,4-Diisocyanate and [14C]Toluene 2,4-Diamine in Fischer 344 Rats.” </w:t>
      </w:r>
      <w:r w:rsidRPr="00D01C6A">
        <w:rPr>
          <w:rFonts w:ascii="Calibri" w:hAnsi="Calibri" w:cs="Calibri"/>
          <w:i/>
          <w:iCs/>
          <w:noProof/>
          <w:szCs w:val="24"/>
          <w:lang w:val="en-GB"/>
        </w:rPr>
        <w:t>Toxicology and Applied Pharmacology</w:t>
      </w:r>
      <w:r w:rsidRPr="00D01C6A">
        <w:rPr>
          <w:rFonts w:ascii="Calibri" w:hAnsi="Calibri" w:cs="Calibri"/>
          <w:noProof/>
          <w:szCs w:val="24"/>
          <w:lang w:val="en-GB"/>
        </w:rPr>
        <w:t>. https://doi.org/10.1006/taap.1994.1022.</w:t>
      </w:r>
    </w:p>
    <w:p w14:paraId="45B45B2B" w14:textId="77777777" w:rsidR="006D20E6" w:rsidRPr="00D01C6A" w:rsidRDefault="006D20E6" w:rsidP="006D20E6">
      <w:pPr>
        <w:widowControl w:val="0"/>
        <w:autoSpaceDE w:val="0"/>
        <w:autoSpaceDN w:val="0"/>
        <w:adjustRightInd w:val="0"/>
        <w:spacing w:line="240" w:lineRule="auto"/>
        <w:ind w:left="480" w:hanging="480"/>
        <w:rPr>
          <w:rFonts w:ascii="Calibri" w:hAnsi="Calibri" w:cs="Calibri"/>
          <w:noProof/>
          <w:lang w:val="en-GB"/>
        </w:rPr>
      </w:pPr>
      <w:r w:rsidRPr="00D01C6A">
        <w:rPr>
          <w:rFonts w:ascii="Calibri" w:hAnsi="Calibri" w:cs="Calibri"/>
          <w:noProof/>
          <w:szCs w:val="24"/>
          <w:lang w:val="en-GB"/>
        </w:rPr>
        <w:t xml:space="preserve">Tinnerberg, Håkan, Karin Broberg, Christian H. Lindh, and Bo A.G. Jönsson. 2014. “Biomarkers of Exposure in Monday Morning Urine Samples as a Long-Term Measure of Exposure to Aromatic Diisocyanates.” </w:t>
      </w:r>
      <w:r w:rsidRPr="00D01C6A">
        <w:rPr>
          <w:rFonts w:ascii="Calibri" w:hAnsi="Calibri" w:cs="Calibri"/>
          <w:i/>
          <w:iCs/>
          <w:noProof/>
          <w:szCs w:val="24"/>
          <w:lang w:val="en-GB"/>
        </w:rPr>
        <w:t>International Archives of Occupational and Environmental Health</w:t>
      </w:r>
      <w:r w:rsidRPr="00D01C6A">
        <w:rPr>
          <w:rFonts w:ascii="Calibri" w:hAnsi="Calibri" w:cs="Calibri"/>
          <w:noProof/>
          <w:szCs w:val="24"/>
          <w:lang w:val="en-GB"/>
        </w:rPr>
        <w:t xml:space="preserve"> 87 (4): 365–72. https://doi.org/10.1007/S00420-013-0872-Y/FIGURES/3.</w:t>
      </w:r>
    </w:p>
    <w:p w14:paraId="588A0D12" w14:textId="0312D343" w:rsidR="006D20E6" w:rsidRDefault="006D20E6">
      <w:pPr>
        <w:rPr>
          <w:lang w:val="en-US"/>
        </w:rPr>
      </w:pPr>
      <w:r>
        <w:rPr>
          <w:lang w:val="en-US"/>
        </w:rPr>
        <w:fldChar w:fldCharType="end"/>
      </w:r>
    </w:p>
    <w:p w14:paraId="2E967289" w14:textId="77777777" w:rsidR="006D20E6" w:rsidRPr="004D7210" w:rsidRDefault="006D20E6">
      <w:pPr>
        <w:rPr>
          <w:lang w:val="en-US"/>
        </w:rPr>
      </w:pPr>
    </w:p>
    <w:sectPr w:rsidR="006D20E6" w:rsidRPr="004D7210" w:rsidSect="00EA45CF">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A926" w14:textId="77777777" w:rsidR="006F3B0C" w:rsidRDefault="006F3B0C" w:rsidP="004D7210">
      <w:pPr>
        <w:spacing w:after="0" w:line="240" w:lineRule="auto"/>
      </w:pPr>
      <w:r>
        <w:separator/>
      </w:r>
    </w:p>
  </w:endnote>
  <w:endnote w:type="continuationSeparator" w:id="0">
    <w:p w14:paraId="023C7D7C" w14:textId="77777777" w:rsidR="006F3B0C" w:rsidRDefault="006F3B0C" w:rsidP="004D7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vTimes">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935349"/>
      <w:docPartObj>
        <w:docPartGallery w:val="Page Numbers (Bottom of Page)"/>
        <w:docPartUnique/>
      </w:docPartObj>
    </w:sdtPr>
    <w:sdtContent>
      <w:p w14:paraId="07DFC3FF" w14:textId="77777777" w:rsidR="004D7210" w:rsidRDefault="004D7210">
        <w:pPr>
          <w:pStyle w:val="Footer"/>
          <w:jc w:val="right"/>
        </w:pPr>
        <w:r>
          <w:fldChar w:fldCharType="begin"/>
        </w:r>
        <w:r>
          <w:instrText>PAGE   \* MERGEFORMAT</w:instrText>
        </w:r>
        <w:r>
          <w:fldChar w:fldCharType="separate"/>
        </w:r>
        <w:r>
          <w:t>2</w:t>
        </w:r>
        <w:r>
          <w:fldChar w:fldCharType="end"/>
        </w:r>
      </w:p>
    </w:sdtContent>
  </w:sdt>
  <w:p w14:paraId="2E6EC0D0" w14:textId="77777777" w:rsidR="004D7210" w:rsidRDefault="004D72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323717"/>
      <w:docPartObj>
        <w:docPartGallery w:val="Page Numbers (Bottom of Page)"/>
        <w:docPartUnique/>
      </w:docPartObj>
    </w:sdtPr>
    <w:sdtContent>
      <w:p w14:paraId="0D9106BF" w14:textId="77777777" w:rsidR="00954A7B" w:rsidRDefault="00954A7B">
        <w:pPr>
          <w:pStyle w:val="Footer"/>
          <w:jc w:val="right"/>
        </w:pPr>
        <w:r>
          <w:fldChar w:fldCharType="begin"/>
        </w:r>
        <w:r>
          <w:instrText>PAGE   \* MERGEFORMAT</w:instrText>
        </w:r>
        <w:r>
          <w:fldChar w:fldCharType="separate"/>
        </w:r>
        <w:r>
          <w:t>2</w:t>
        </w:r>
        <w:r>
          <w:fldChar w:fldCharType="end"/>
        </w:r>
      </w:p>
    </w:sdtContent>
  </w:sdt>
  <w:p w14:paraId="0FBC8570" w14:textId="77777777" w:rsidR="00954A7B" w:rsidRDefault="00954A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7775C" w14:textId="77777777" w:rsidR="006F3B0C" w:rsidRDefault="006F3B0C" w:rsidP="004D7210">
      <w:pPr>
        <w:spacing w:after="0" w:line="240" w:lineRule="auto"/>
      </w:pPr>
      <w:r>
        <w:separator/>
      </w:r>
    </w:p>
  </w:footnote>
  <w:footnote w:type="continuationSeparator" w:id="0">
    <w:p w14:paraId="0AE94C4A" w14:textId="77777777" w:rsidR="006F3B0C" w:rsidRDefault="006F3B0C" w:rsidP="004D7210">
      <w:pPr>
        <w:spacing w:after="0" w:line="240" w:lineRule="auto"/>
      </w:pPr>
      <w:r>
        <w:continuationSeparator/>
      </w:r>
    </w:p>
  </w:footnote>
  <w:footnote w:id="1">
    <w:p w14:paraId="6D29B697" w14:textId="77777777" w:rsidR="004D7210" w:rsidRPr="00A94E43" w:rsidRDefault="004D7210" w:rsidP="004D7210">
      <w:pPr>
        <w:pStyle w:val="FootnoteText"/>
        <w:rPr>
          <w:lang w:val="en-US"/>
        </w:rPr>
      </w:pPr>
      <w:r w:rsidRPr="003D2538">
        <w:rPr>
          <w:rStyle w:val="FootnoteReference"/>
        </w:rPr>
        <w:footnoteRef/>
      </w:r>
      <w:r w:rsidRPr="00EB33DD">
        <w:t xml:space="preserve"> </w:t>
      </w:r>
      <w:r w:rsidRPr="00655DB2">
        <w:rPr>
          <w:sz w:val="18"/>
          <w:szCs w:val="18"/>
        </w:rPr>
        <w:t xml:space="preserve">Urinary waarden zijn omgezet naar ug/gr creatinine door middel van deze gegevens: creatinine value: 12 mmol/L. MW creatinine: 113.12 g/mol. </w:t>
      </w:r>
      <w:r w:rsidRPr="00655DB2">
        <w:rPr>
          <w:sz w:val="18"/>
          <w:szCs w:val="18"/>
          <w:lang w:val="en-US"/>
        </w:rPr>
        <w:t>MW TDA: 122.17 g/mol.</w:t>
      </w:r>
    </w:p>
  </w:footnote>
  <w:footnote w:id="2">
    <w:p w14:paraId="744EA368" w14:textId="77777777" w:rsidR="004D7210" w:rsidRPr="00655DB2" w:rsidRDefault="004D7210" w:rsidP="004D7210">
      <w:pPr>
        <w:pStyle w:val="FootnoteText"/>
        <w:rPr>
          <w:lang w:val="en-US"/>
        </w:rPr>
      </w:pPr>
      <w:r>
        <w:rPr>
          <w:rStyle w:val="FootnoteReference"/>
        </w:rPr>
        <w:footnoteRef/>
      </w:r>
      <w:r w:rsidRPr="00655DB2">
        <w:rPr>
          <w:lang w:val="en-US"/>
        </w:rPr>
        <w:t xml:space="preserve"> </w:t>
      </w:r>
      <w:r w:rsidRPr="00655DB2">
        <w:rPr>
          <w:sz w:val="18"/>
          <w:szCs w:val="18"/>
          <w:lang w:val="en-US"/>
        </w:rPr>
        <w:t xml:space="preserve">Autheurs also make a correction from ug/l to ug/gr creatinine. They calculate 6.9 (instead of 7.1), I think this is because they used a value of 12.5 mmol/L. We use 12 mmol/L throughout so also here we </w:t>
      </w:r>
      <w:r>
        <w:rPr>
          <w:sz w:val="18"/>
          <w:szCs w:val="18"/>
          <w:lang w:val="en-US"/>
        </w:rPr>
        <w:t>use this value</w:t>
      </w:r>
      <w:r w:rsidRPr="00655DB2">
        <w:rPr>
          <w:sz w:val="18"/>
          <w:szCs w:val="18"/>
          <w:lang w:val="en-U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43FF2"/>
    <w:multiLevelType w:val="multilevel"/>
    <w:tmpl w:val="B030A73E"/>
    <w:lvl w:ilvl="0">
      <w:start w:val="2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num w:numId="1" w16cid:durableId="1994871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210"/>
    <w:rsid w:val="00052B0C"/>
    <w:rsid w:val="00063B5D"/>
    <w:rsid w:val="000926CA"/>
    <w:rsid w:val="00106072"/>
    <w:rsid w:val="00121DCB"/>
    <w:rsid w:val="00125CA6"/>
    <w:rsid w:val="0013018A"/>
    <w:rsid w:val="00171E46"/>
    <w:rsid w:val="00182B94"/>
    <w:rsid w:val="001B1412"/>
    <w:rsid w:val="00231663"/>
    <w:rsid w:val="0029275A"/>
    <w:rsid w:val="0035393B"/>
    <w:rsid w:val="00362AC8"/>
    <w:rsid w:val="003E0C95"/>
    <w:rsid w:val="003E1C94"/>
    <w:rsid w:val="003E3472"/>
    <w:rsid w:val="00442B1C"/>
    <w:rsid w:val="0045398A"/>
    <w:rsid w:val="004716AD"/>
    <w:rsid w:val="00484E79"/>
    <w:rsid w:val="004C6543"/>
    <w:rsid w:val="004D7210"/>
    <w:rsid w:val="00546D55"/>
    <w:rsid w:val="0057728C"/>
    <w:rsid w:val="005C0866"/>
    <w:rsid w:val="005D1B9A"/>
    <w:rsid w:val="00687B6C"/>
    <w:rsid w:val="006B203C"/>
    <w:rsid w:val="006D20E6"/>
    <w:rsid w:val="006F3B0C"/>
    <w:rsid w:val="00700CF4"/>
    <w:rsid w:val="0071473C"/>
    <w:rsid w:val="00747905"/>
    <w:rsid w:val="00785BB1"/>
    <w:rsid w:val="007A78E7"/>
    <w:rsid w:val="007D07B3"/>
    <w:rsid w:val="00860B15"/>
    <w:rsid w:val="00863659"/>
    <w:rsid w:val="00863E38"/>
    <w:rsid w:val="0086477C"/>
    <w:rsid w:val="008705A7"/>
    <w:rsid w:val="00871DF5"/>
    <w:rsid w:val="008D1A88"/>
    <w:rsid w:val="008D369C"/>
    <w:rsid w:val="008E2938"/>
    <w:rsid w:val="0090327A"/>
    <w:rsid w:val="0091177A"/>
    <w:rsid w:val="0091472B"/>
    <w:rsid w:val="00954A7B"/>
    <w:rsid w:val="00970C2A"/>
    <w:rsid w:val="009A64AB"/>
    <w:rsid w:val="00A62F15"/>
    <w:rsid w:val="00AA7C03"/>
    <w:rsid w:val="00AB0087"/>
    <w:rsid w:val="00B02658"/>
    <w:rsid w:val="00B1334D"/>
    <w:rsid w:val="00B16F4B"/>
    <w:rsid w:val="00B42BD9"/>
    <w:rsid w:val="00BC7720"/>
    <w:rsid w:val="00C154A7"/>
    <w:rsid w:val="00C2385E"/>
    <w:rsid w:val="00C23FEB"/>
    <w:rsid w:val="00CC3385"/>
    <w:rsid w:val="00CD36B2"/>
    <w:rsid w:val="00D01C6A"/>
    <w:rsid w:val="00D05AEA"/>
    <w:rsid w:val="00DC39B2"/>
    <w:rsid w:val="00DC68BC"/>
    <w:rsid w:val="00E1081D"/>
    <w:rsid w:val="00E26176"/>
    <w:rsid w:val="00E47ED2"/>
    <w:rsid w:val="00E92F96"/>
    <w:rsid w:val="00EA45CF"/>
    <w:rsid w:val="00ED62DD"/>
    <w:rsid w:val="00EE2AEF"/>
    <w:rsid w:val="00F256D2"/>
    <w:rsid w:val="00F86653"/>
    <w:rsid w:val="00FD2BA5"/>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75B94"/>
  <w15:chartTrackingRefBased/>
  <w15:docId w15:val="{96DFA5E1-D340-46FD-8C74-15301166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210"/>
    <w:rPr>
      <w:lang w:val="nl-NL"/>
    </w:rPr>
  </w:style>
  <w:style w:type="paragraph" w:styleId="Heading1">
    <w:name w:val="heading 1"/>
    <w:basedOn w:val="Normal"/>
    <w:next w:val="Normal"/>
    <w:link w:val="Heading1Char"/>
    <w:uiPriority w:val="9"/>
    <w:qFormat/>
    <w:rsid w:val="004D72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unhideWhenUsed/>
    <w:qFormat/>
    <w:rsid w:val="0013018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210"/>
    <w:rPr>
      <w:rFonts w:asciiTheme="majorHAnsi" w:eastAsiaTheme="majorEastAsia" w:hAnsiTheme="majorHAnsi" w:cstheme="majorBidi"/>
      <w:color w:val="2F5496" w:themeColor="accent1" w:themeShade="BF"/>
      <w:sz w:val="32"/>
      <w:szCs w:val="32"/>
      <w:lang w:val="nl-NL"/>
    </w:rPr>
  </w:style>
  <w:style w:type="paragraph" w:styleId="ListParagraph">
    <w:name w:val="List Paragraph"/>
    <w:aliases w:val="Nad,Odstavec_muj,Table/Figure Heading,Colorful List - Accent 11,Dot pt,F5 List Paragraph,List Paragraph1,No Spacing1,List Paragraph Char Char Char,Indicator Text,Numbered Para 1,Bullet 1,Bullet Points,MAIN CONTENT,List Paragraph11,L"/>
    <w:basedOn w:val="Normal"/>
    <w:link w:val="ListParagraphChar"/>
    <w:uiPriority w:val="34"/>
    <w:qFormat/>
    <w:rsid w:val="004D7210"/>
    <w:pPr>
      <w:ind w:left="720"/>
      <w:contextualSpacing/>
    </w:pPr>
  </w:style>
  <w:style w:type="paragraph" w:styleId="Caption">
    <w:name w:val="caption"/>
    <w:basedOn w:val="Normal"/>
    <w:next w:val="Normal"/>
    <w:uiPriority w:val="35"/>
    <w:unhideWhenUsed/>
    <w:qFormat/>
    <w:rsid w:val="004D7210"/>
    <w:pPr>
      <w:keepNext/>
      <w:spacing w:before="240" w:after="60" w:line="240" w:lineRule="exact"/>
    </w:pPr>
    <w:rPr>
      <w:rFonts w:ascii="Times New Roman" w:eastAsia="Calibri" w:hAnsi="Times New Roman" w:cs="Times New Roman"/>
      <w:b/>
      <w:bCs/>
      <w:sz w:val="20"/>
      <w:lang w:val="en-GB"/>
    </w:rPr>
  </w:style>
  <w:style w:type="character" w:styleId="CommentReference">
    <w:name w:val="annotation reference"/>
    <w:basedOn w:val="DefaultParagraphFont"/>
    <w:uiPriority w:val="99"/>
    <w:semiHidden/>
    <w:unhideWhenUsed/>
    <w:qFormat/>
    <w:rsid w:val="004D7210"/>
    <w:rPr>
      <w:sz w:val="18"/>
      <w:szCs w:val="18"/>
    </w:rPr>
  </w:style>
  <w:style w:type="table" w:styleId="TableGrid">
    <w:name w:val="Table Grid"/>
    <w:basedOn w:val="TableNormal"/>
    <w:uiPriority w:val="39"/>
    <w:rsid w:val="004D7210"/>
    <w:pPr>
      <w:spacing w:after="0" w:line="240" w:lineRule="auto"/>
    </w:pPr>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4D7210"/>
    <w:pPr>
      <w:spacing w:after="0" w:line="240" w:lineRule="auto"/>
    </w:pPr>
    <w:rPr>
      <w:sz w:val="20"/>
      <w:szCs w:val="20"/>
    </w:rPr>
  </w:style>
  <w:style w:type="character" w:customStyle="1" w:styleId="FootnoteTextChar">
    <w:name w:val="Footnote Text Char"/>
    <w:basedOn w:val="DefaultParagraphFont"/>
    <w:link w:val="FootnoteText"/>
    <w:uiPriority w:val="99"/>
    <w:rsid w:val="004D7210"/>
    <w:rPr>
      <w:sz w:val="20"/>
      <w:szCs w:val="20"/>
      <w:lang w:val="nl-NL"/>
    </w:rPr>
  </w:style>
  <w:style w:type="character" w:styleId="FootnoteReference">
    <w:name w:val="footnote reference"/>
    <w:basedOn w:val="DefaultParagraphFont"/>
    <w:uiPriority w:val="99"/>
    <w:semiHidden/>
    <w:unhideWhenUsed/>
    <w:rsid w:val="004D7210"/>
    <w:rPr>
      <w:vertAlign w:val="superscript"/>
    </w:rPr>
  </w:style>
  <w:style w:type="paragraph" w:customStyle="1" w:styleId="Default">
    <w:name w:val="Default"/>
    <w:rsid w:val="004D7210"/>
    <w:pPr>
      <w:autoSpaceDE w:val="0"/>
      <w:autoSpaceDN w:val="0"/>
      <w:adjustRightInd w:val="0"/>
      <w:spacing w:after="0" w:line="240" w:lineRule="auto"/>
    </w:pPr>
    <w:rPr>
      <w:rFonts w:ascii="Times New Roman" w:hAnsi="Times New Roman" w:cs="Times New Roman"/>
      <w:color w:val="000000"/>
      <w:sz w:val="24"/>
      <w:szCs w:val="24"/>
      <w:lang w:val="nl-NL"/>
    </w:rPr>
  </w:style>
  <w:style w:type="paragraph" w:styleId="Footer">
    <w:name w:val="footer"/>
    <w:basedOn w:val="Normal"/>
    <w:link w:val="FooterChar"/>
    <w:uiPriority w:val="99"/>
    <w:unhideWhenUsed/>
    <w:rsid w:val="004D72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210"/>
    <w:rPr>
      <w:lang w:val="nl-NL"/>
    </w:rPr>
  </w:style>
  <w:style w:type="character" w:customStyle="1" w:styleId="ListParagraphChar">
    <w:name w:val="List Paragraph Char"/>
    <w:aliases w:val="Nad Char,Odstavec_muj Char,Table/Figure Heading Char,Colorful List - Accent 11 Char,Dot pt Char,F5 List Paragraph Char,List Paragraph1 Char,No Spacing1 Char,List Paragraph Char Char Char Char,Indicator Text Char,Numbered Para 1 Char"/>
    <w:basedOn w:val="DefaultParagraphFont"/>
    <w:link w:val="ListParagraph"/>
    <w:uiPriority w:val="34"/>
    <w:locked/>
    <w:rsid w:val="004D7210"/>
    <w:rPr>
      <w:lang w:val="nl-NL"/>
    </w:rPr>
  </w:style>
  <w:style w:type="character" w:styleId="LineNumber">
    <w:name w:val="line number"/>
    <w:basedOn w:val="DefaultParagraphFont"/>
    <w:uiPriority w:val="99"/>
    <w:semiHidden/>
    <w:unhideWhenUsed/>
    <w:rsid w:val="004D7210"/>
  </w:style>
  <w:style w:type="paragraph" w:styleId="Revision">
    <w:name w:val="Revision"/>
    <w:hidden/>
    <w:uiPriority w:val="99"/>
    <w:semiHidden/>
    <w:rsid w:val="00231663"/>
    <w:pPr>
      <w:spacing w:after="0" w:line="240" w:lineRule="auto"/>
    </w:pPr>
    <w:rPr>
      <w:lang w:val="nl-NL"/>
    </w:rPr>
  </w:style>
  <w:style w:type="character" w:customStyle="1" w:styleId="Heading4Char">
    <w:name w:val="Heading 4 Char"/>
    <w:basedOn w:val="DefaultParagraphFont"/>
    <w:link w:val="Heading4"/>
    <w:uiPriority w:val="9"/>
    <w:rsid w:val="0013018A"/>
    <w:rPr>
      <w:rFonts w:asciiTheme="majorHAnsi" w:eastAsiaTheme="majorEastAsia" w:hAnsiTheme="majorHAnsi" w:cstheme="majorBidi"/>
      <w:i/>
      <w:iCs/>
      <w:color w:val="2F5496" w:themeColor="accent1" w:themeShade="BF"/>
      <w:lang w:val="nl-NL"/>
    </w:rPr>
  </w:style>
  <w:style w:type="paragraph" w:styleId="CommentText">
    <w:name w:val="annotation text"/>
    <w:basedOn w:val="Normal"/>
    <w:link w:val="CommentTextChar"/>
    <w:uiPriority w:val="99"/>
    <w:semiHidden/>
    <w:unhideWhenUsed/>
    <w:rsid w:val="00106072"/>
    <w:pPr>
      <w:spacing w:line="240" w:lineRule="auto"/>
    </w:pPr>
    <w:rPr>
      <w:sz w:val="20"/>
      <w:szCs w:val="20"/>
    </w:rPr>
  </w:style>
  <w:style w:type="character" w:customStyle="1" w:styleId="CommentTextChar">
    <w:name w:val="Comment Text Char"/>
    <w:basedOn w:val="DefaultParagraphFont"/>
    <w:link w:val="CommentText"/>
    <w:uiPriority w:val="99"/>
    <w:semiHidden/>
    <w:rsid w:val="00106072"/>
    <w:rPr>
      <w:sz w:val="20"/>
      <w:szCs w:val="20"/>
      <w:lang w:val="nl-NL"/>
    </w:rPr>
  </w:style>
  <w:style w:type="paragraph" w:styleId="CommentSubject">
    <w:name w:val="annotation subject"/>
    <w:basedOn w:val="CommentText"/>
    <w:next w:val="CommentText"/>
    <w:link w:val="CommentSubjectChar"/>
    <w:uiPriority w:val="99"/>
    <w:semiHidden/>
    <w:unhideWhenUsed/>
    <w:rsid w:val="00106072"/>
    <w:rPr>
      <w:b/>
      <w:bCs/>
    </w:rPr>
  </w:style>
  <w:style w:type="character" w:customStyle="1" w:styleId="CommentSubjectChar">
    <w:name w:val="Comment Subject Char"/>
    <w:basedOn w:val="CommentTextChar"/>
    <w:link w:val="CommentSubject"/>
    <w:uiPriority w:val="99"/>
    <w:semiHidden/>
    <w:rsid w:val="00106072"/>
    <w:rPr>
      <w:b/>
      <w:bCs/>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A0797-7D48-4A6E-B08D-B55D599D5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18</Pages>
  <Words>10616</Words>
  <Characters>60517</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Bernice Scholten</dc:creator>
  <cp:keywords/>
  <dc:description/>
  <cp:lastModifiedBy>Paraskevi Papakyriakopoulou</cp:lastModifiedBy>
  <cp:revision>9</cp:revision>
  <dcterms:created xsi:type="dcterms:W3CDTF">2023-02-28T15:27:00Z</dcterms:created>
  <dcterms:modified xsi:type="dcterms:W3CDTF">2025-07-25T21:34:00Z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81a6628b-702f-3c90-bb68-0d12624512a1</vt:lpwstr>
  </property>
  <property fmtid="{D5CDD505-2E9C-101B-9397-08002B2CF9AE}" pid="4" name="Mendeley Citation Style_1">
    <vt:lpwstr>http://www.zotero.org/styles/chicago-author-date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