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標楷體" w:cs="標楷體" w:eastAsia="標楷體" w:hAnsi="標楷體"/>
          <w:b w:val="1"/>
          <w:color w:val="000000"/>
          <w:sz w:val="40"/>
          <w:szCs w:val="40"/>
        </w:rPr>
      </w:pPr>
      <w:r w:rsidDel="00000000" w:rsidR="00000000" w:rsidRPr="00000000">
        <w:rPr>
          <w:rFonts w:ascii="標楷體" w:cs="標楷體" w:eastAsia="標楷體" w:hAnsi="標楷體"/>
          <w:b w:val="1"/>
          <w:color w:val="000000"/>
          <w:sz w:val="40"/>
          <w:szCs w:val="40"/>
          <w:rtl w:val="0"/>
        </w:rPr>
        <w:t xml:space="preserve">107512專題內部例行會議紀錄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開會日期：106年 12月 19日 (星期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二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)  09 時 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00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 分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開會日期：106年 12月 22日 (星期五)  09 時 05 分                        紀錄 : 曾天鈞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會議地點/形式：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藝407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ab/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出席：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全組出席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缺席：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列管事項</w:t>
      </w:r>
    </w:p>
    <w:p w:rsidR="00000000" w:rsidDel="00000000" w:rsidP="00000000" w:rsidRDefault="00000000" w:rsidRPr="00000000" w14:paraId="00000007">
      <w:pPr>
        <w:tabs>
          <w:tab w:val="left" w:pos="709"/>
        </w:tabs>
        <w:spacing w:line="360" w:lineRule="auto"/>
        <w:ind w:firstLine="720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(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1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)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、 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專題方向更改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討論事項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48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專題主題更改?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偏鄉教學、國外教學(類似志工的概念，受教育者不會是使用平台的)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學齡前、與小一、小二數學，因為高中生會去補習，基本上不會去使用到APP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父母或志工帶著小朋友學(父母有空?為何不直接拿書)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內容可以讓其他人(其他單位)創建(ex:小遊戲)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問題是誰來分享?要分享甚麼內容?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要知道他們想要甚麼?缺少甚麼?(必須蒐集資料)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學寫字(手機是繪畫版之類的)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組員於12/24有去書局翻閱國小一至六年級的數學書，發現較低年級的數學，形式較固定、圖案運用比例非常高、內容與例題變動很小，且幾乎「人人都會」。因此在較低年級上我們認為能讓人人發起課程的動機並不大(因為人人都會，而差別就在於小孩聽不聽得懂)</w:t>
        <w:br w:type="textWrapping"/>
        <w:t xml:space="preserve">唯一會讓較低年級使用，發起者須以"小孩子能不能理解我說的"為出發點。內文與圖案並茂，並搭配小動畫、情境小遊戲、穿插PPT的形式進行。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實地書局探訪後，我們發現小三之後的自然生活與科技，也是我們可以考慮的目標之一，其原因 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年齡已適合自主操作手機、電腦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並非「人人都會」，甚至對於我們(五專、大學生)來說有很大的比例都對於國小自然很陌生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自然延伸範圍廣，也時常應用在生活上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同學之間較易分享自己的所見、教學提供者可以不限是小學生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ab/>
        <w:tab/>
        <w:tab/>
        <w:t xml:space="preserve">     總和以上所述，自然生活與科技是適合發展的好選擇，</w:t>
        <w:tab/>
        <w:tab/>
        <w:tab/>
        <w:t xml:space="preserve">     不只能學到課本上的，還能學到很多生活上的應用常識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不過五、六年級的學生就無以上的顧慮。內容與例題較多變、難度較難(會運用體積與公式等)，不一定人人都會、且這年紀的小孩理解力較佳、3C產品使用自主性較高，較適合發起課程共學。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延續現在的"一起Hah數學"主題，只是內容要大更改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(留下一或兩種上傳方式、考慮跟書商等等合作、使用對象不侷限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在北商)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我們必須將發起課程的方式規模縮小，抓出兩種方式(PPT、影片等)發起課程。並且每堂完整的課程發起人可以向參與者收"學費"；當然，對數學有興趣想分享自身經驗的，或許不會像參與者收"學費"，我們開放課程發起人去做選擇；並且參與者皆有一"堂"課的試上期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48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做學行銷之類的會用到美宣的東西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老師共享互相的教學技巧、經驗(老師共學的平台)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敏慈提出 : "交換"，例如你想學繪畫、我想學攝影，我就可以透過"交換"的方式讓雙方都得到各自想學的東西；課程內容我們會提供固定的格式(外框、線條等).....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48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悅閱提出 : 應該要專注在某一類別，不應該把每個類別都囊括到，不但範圍會一直膨脹，也並非老師原意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天鈞提出 : “文學共學”，有作文區、個人創作區、團體創作區，使用對象為在學學生，作文區可將我寫的作文(國、高中、大學)的創作並附上老師的講評、個人的創作概念、此篇作文的主體概說等等上傳供大家學習，並開放留言區讓大家留言討論。</w:t>
        <w:br w:type="textWrapping"/>
        <w:t xml:space="preserve">個人創作區為大家的即興短文創作，供大家瀏覽、拷貝使用</w:t>
        <w:br w:type="textWrapping"/>
        <w:t xml:space="preserve">團體創作區為由2位以上的學生之創作，可以同心協力完成一篇文章，雙方可以皆不認識，但是發起者可以先導出這篇文章的整體方向，讓大家去創作。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陳昱提出 : 可以參考筆記共享的APP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專題使用對象為(對應上述方案)?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偏鄉的國小學生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學齡前、與小一、小二數學 (自然為小三至小六結束)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不再限定是北商學生，而是16~20歲這個年齡層的在學學生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上班族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高中以上的所有的老師們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社會大眾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---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48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在學學生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會議決議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臨時動議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right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ab/>
        <w:t xml:space="preserve"> 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下次會議討論事項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right="0"/>
        <w:contextualSpacing w:val="0"/>
        <w:jc w:val="left"/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ab/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繼續深入討論上述事項，決定出最適當的選項方案。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下次會議時間： 106年 12月 2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8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日( 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星期二 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09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時 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0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0分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下次會議地點： 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藝407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散會： 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10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時 03分</w:t>
      </w:r>
    </w:p>
    <w:p w:rsidR="00000000" w:rsidDel="00000000" w:rsidP="00000000" w:rsidRDefault="00000000" w:rsidRPr="00000000" w14:paraId="00000036">
      <w:pPr>
        <w:contextualSpacing w:val="0"/>
        <w:rPr>
          <w:rFonts w:ascii="標楷體" w:cs="標楷體" w:eastAsia="標楷體" w:hAnsi="標楷體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標楷體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第</w:t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頁/共</w:t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頁</w:t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96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lowerLetter"/>
      <w:lvlText w:val="%5.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lowerLetter"/>
      <w:lvlText w:val="%8.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480"/>
      </w:pPr>
      <w:rPr/>
    </w:lvl>
    <w:lvl w:ilvl="1">
      <w:start w:val="1"/>
      <w:numFmt w:val="decimal"/>
      <w:lvlText w:val="%2、"/>
      <w:lvlJc w:val="left"/>
      <w:pPr>
        <w:ind w:left="1920" w:hanging="480"/>
      </w:pPr>
      <w:rPr/>
    </w:lvl>
    <w:lvl w:ilvl="2">
      <w:start w:val="1"/>
      <w:numFmt w:val="lowerRoman"/>
      <w:lvlText w:val="%3."/>
      <w:lvlJc w:val="right"/>
      <w:pPr>
        <w:ind w:left="240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、"/>
      <w:lvlJc w:val="left"/>
      <w:pPr>
        <w:ind w:left="3360" w:hanging="480"/>
      </w:pPr>
      <w:rPr/>
    </w:lvl>
    <w:lvl w:ilvl="5">
      <w:start w:val="1"/>
      <w:numFmt w:val="lowerRoman"/>
      <w:lvlText w:val="%6."/>
      <w:lvlJc w:val="right"/>
      <w:pPr>
        <w:ind w:left="3840" w:hanging="480"/>
      </w:pPr>
      <w:rPr/>
    </w:lvl>
    <w:lvl w:ilvl="6">
      <w:start w:val="1"/>
      <w:numFmt w:val="decimal"/>
      <w:lvlText w:val="%7."/>
      <w:lvlJc w:val="left"/>
      <w:pPr>
        <w:ind w:left="4320" w:hanging="480"/>
      </w:pPr>
      <w:rPr/>
    </w:lvl>
    <w:lvl w:ilvl="7">
      <w:start w:val="1"/>
      <w:numFmt w:val="decimal"/>
      <w:lvlText w:val="%8、"/>
      <w:lvlJc w:val="left"/>
      <w:pPr>
        <w:ind w:left="4800" w:hanging="480"/>
      </w:pPr>
      <w:rPr/>
    </w:lvl>
    <w:lvl w:ilvl="8">
      <w:start w:val="1"/>
      <w:numFmt w:val="lowerRoman"/>
      <w:lvlText w:val="%9."/>
      <w:lvlJc w:val="right"/>
      <w:pPr>
        <w:ind w:left="5280" w:hanging="480"/>
      </w:pPr>
      <w:rPr/>
    </w:lvl>
  </w:abstractNum>
  <w:abstractNum w:abstractNumId="3">
    <w:lvl w:ilvl="0">
      <w:start w:val="1"/>
      <w:numFmt w:val="decimal"/>
      <w:lvlText w:val="%1、"/>
      <w:lvlJc w:val="left"/>
      <w:pPr>
        <w:ind w:left="480" w:hanging="480"/>
      </w:pPr>
      <w:rPr>
        <w:b w:val="1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