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DFKai-SB" w:hAnsi="DFKai-SB" w:eastAsia="DFKai-SB" w:cs="DFKai-SB"/>
          <w:b w:val="0"/>
          <w:i w:val="0"/>
          <w:color w:val="000000"/>
          <w:sz w:val="24"/>
        </w:rPr>
      </w:r>
    </w:p>
    <w:p>
      <w:pPr>
        <w:spacing w:after="0"/>
        <w:jc w:val="center"/>
      </w:pPr>
      <w:r>
        <w:rPr>
          <w:rFonts w:ascii="DFKai-SB" w:hAnsi="DFKai-SB" w:eastAsia="DFKai-SB" w:cs="DFKai-SB"/>
          <w:b w:val="0"/>
          <w:i w:val="0"/>
          <w:color w:val="000000"/>
          <w:sz w:val="24"/>
        </w:rPr>
      </w:r>
    </w:p>
    <w:p>
      <w:pPr>
        <w:spacing w:after="0"/>
        <w:jc w:val="center"/>
      </w:pPr>
      <w:r>
        <w:rPr>
          <w:rFonts w:ascii="DFKai-SB" w:hAnsi="DFKai-SB" w:eastAsia="DFKai-SB" w:cs="DFKai-SB"/>
          <w:b w:val="0"/>
          <w:i w:val="0"/>
          <w:color w:val="000000"/>
          <w:sz w:val="24"/>
        </w:rPr>
      </w:r>
    </w:p>
    <w:p>
      <w:pPr>
        <w:spacing w:after="0"/>
        <w:jc w:val="center"/>
      </w:pPr>
      <w:r>
        <w:rPr>
          <w:rFonts w:ascii="DFKai-SB" w:hAnsi="DFKai-SB" w:eastAsia="DFKai-SB" w:cs="DFKai-SB"/>
          <w:b w:val="0"/>
          <w:i w:val="0"/>
          <w:color w:val="000000"/>
          <w:sz w:val="24"/>
        </w:rPr>
      </w:r>
    </w:p>
    <w:p>
      <w:pPr>
        <w:spacing w:after="0"/>
        <w:jc w:val="center"/>
      </w:pPr>
      <w:r>
        <w:rPr>
          <w:rFonts w:ascii="DFKai-SB" w:hAnsi="DFKai-SB" w:eastAsia="DFKai-SB" w:cs="DFKai-SB"/>
          <w:b w:val="0"/>
          <w:i w:val="0"/>
          <w:color w:val="000000"/>
          <w:sz w:val="24"/>
        </w:rPr>
      </w:r>
    </w:p>
    <w:p>
      <w:pPr>
        <w:spacing w:after="0"/>
        <w:jc w:val="center"/>
      </w:pPr>
      <w:r>
        <w:rPr>
          <w:rFonts w:ascii="DFKai-SB" w:hAnsi="DFKai-SB" w:eastAsia="DFKai-SB" w:cs="DFKai-SB"/>
          <w:b w:val="0"/>
          <w:i w:val="0"/>
          <w:color w:val="000000"/>
          <w:sz w:val="24"/>
        </w:rPr>
      </w:r>
    </w:p>
    <w:p>
      <w:pPr>
        <w:spacing w:before="800" w:after="160"/>
        <w:jc w:val="center"/>
      </w:pPr>
      <w:r>
        <w:rPr>
          <w:rFonts w:ascii="DFKai-SB" w:hAnsi="DFKai-SB" w:eastAsia="DFKai-SB" w:cs="DFKai-SB"/>
          <w:b/>
          <w:i w:val="0"/>
          <w:color w:val="000000"/>
          <w:sz w:val="40"/>
        </w:rPr>
        <w:t>全國國中科展圖表資料</w:t>
      </w:r>
    </w:p>
    <w:p>
      <w:pPr>
        <w:spacing w:after="520"/>
        <w:jc w:val="center"/>
      </w:pPr>
      <w:r>
        <w:rPr>
          <w:rFonts w:ascii="DFKai-SB" w:hAnsi="DFKai-SB" w:eastAsia="DFKai-SB" w:cs="DFKai-SB"/>
          <w:b/>
          <w:i w:val="0"/>
          <w:color w:val="000000"/>
          <w:sz w:val="32"/>
        </w:rPr>
        <w:t>第60至66屆自然科作品與桃園市國賽表現</w:t>
      </w:r>
    </w:p>
    <w:p>
      <w:pPr>
        <w:spacing w:after="1400"/>
        <w:jc w:val="center"/>
      </w:pPr>
      <w:r>
        <w:rPr>
          <w:rFonts w:ascii="DFKai-SB" w:hAnsi="DFKai-SB" w:eastAsia="DFKai-SB" w:cs="DFKai-SB"/>
          <w:b w:val="0"/>
          <w:i w:val="0"/>
          <w:color w:val="000000"/>
          <w:sz w:val="26"/>
        </w:rPr>
        <w:t>APA 第 7 版資料分析報告</w:t>
      </w:r>
    </w:p>
    <w:p>
      <w:pPr>
        <w:spacing w:after="120"/>
        <w:jc w:val="center"/>
      </w:pPr>
      <w:r>
        <w:rPr>
          <w:rFonts w:ascii="DFKai-SB" w:hAnsi="DFKai-SB" w:eastAsia="DFKai-SB" w:cs="DFKai-SB"/>
          <w:b w:val="0"/>
          <w:i w:val="0"/>
          <w:color w:val="000000"/>
          <w:sz w:val="24"/>
        </w:rPr>
        <w:t>編製單位：桃園市自然輔導團</w:t>
      </w:r>
    </w:p>
    <w:p>
      <w:pPr>
        <w:spacing w:after="120"/>
        <w:jc w:val="center"/>
      </w:pPr>
      <w:r>
        <w:rPr>
          <w:rFonts w:ascii="DFKai-SB" w:hAnsi="DFKai-SB" w:eastAsia="DFKai-SB" w:cs="DFKai-SB"/>
          <w:b w:val="0"/>
          <w:i w:val="0"/>
          <w:color w:val="000000"/>
          <w:sz w:val="24"/>
        </w:rPr>
        <w:t>網頁設計與資料管理：廖俊傑</w:t>
      </w:r>
    </w:p>
    <w:p>
      <w:pPr>
        <w:spacing w:after="120"/>
        <w:jc w:val="center"/>
      </w:pPr>
      <w:r>
        <w:rPr>
          <w:rFonts w:ascii="DFKai-SB" w:hAnsi="DFKai-SB" w:eastAsia="DFKai-SB" w:cs="DFKai-SB"/>
          <w:b w:val="0"/>
          <w:i w:val="0"/>
          <w:color w:val="000000"/>
          <w:sz w:val="24"/>
        </w:rPr>
        <w:t>資料快照日期：2026 年 8 月 28 日</w:t>
      </w:r>
    </w:p>
    <w:p>
      <w:pPr>
        <w:spacing w:after="0"/>
        <w:jc w:val="center"/>
      </w:pPr>
      <w:r>
        <w:rPr>
          <w:rFonts w:ascii="DFKai-SB" w:hAnsi="DFKai-SB" w:eastAsia="DFKai-SB" w:cs="DFKai-SB"/>
          <w:b w:val="0"/>
          <w:i/>
          <w:color w:val="52646A"/>
          <w:sz w:val="23"/>
        </w:rPr>
        <w:t>本報告隨「科展脈絡」網站後台的圖表資料包提供。</w:t>
      </w:r>
    </w:p>
    <w:p>
      <w:r>
        <w:br w:type="page"/>
      </w:r>
    </w:p>
    <w:p>
      <w:pPr>
        <w:pStyle w:val="Heading1"/>
      </w:pPr>
      <w:r>
        <w:rPr>
          <w:rFonts w:ascii="DFKai-SB" w:hAnsi="DFKai-SB" w:eastAsia="DFKai-SB" w:cs="DFKai-SB"/>
          <w:b w:val="0"/>
          <w:i w:val="0"/>
          <w:color w:val="000000"/>
          <w:sz w:val="24"/>
        </w:rPr>
        <w:t>摘要</w:t>
      </w:r>
    </w:p>
    <w:p>
      <w:pPr/>
      <w:r>
        <w:rPr>
          <w:rFonts w:ascii="DFKai-SB" w:hAnsi="DFKai-SB" w:eastAsia="DFKai-SB" w:cs="DFKai-SB"/>
          <w:b w:val="0"/>
          <w:i w:val="0"/>
          <w:color w:val="000000"/>
          <w:sz w:val="24"/>
        </w:rPr>
        <w:t>本報告彙整「科展脈絡」網站目前的核心統計資料，包括第60至66屆國中組自然科得獎作品收錄量、依主要研究現象進行的分科分類，以及第57至66屆桃園市國中組全國科展成績。所有圖表均附上可追溯的原始數據表與研究結果說明，供自然領域教師在教學、選題與競賽培育時引用。網站使用統計採匿名日彙總，僅計數頁面類型與下載行為，不保存個人識別資訊。</w:t>
      </w:r>
    </w:p>
    <w:p>
      <w:pPr>
        <w:spacing w:after="0"/>
        <w:jc w:val="left"/>
      </w:pPr>
      <w:r>
        <w:rPr>
          <w:rFonts w:ascii="DFKai-SB" w:hAnsi="DFKai-SB" w:eastAsia="DFKai-SB" w:cs="DFKai-SB"/>
          <w:b w:val="0"/>
          <w:i/>
          <w:color w:val="000000"/>
          <w:sz w:val="24"/>
        </w:rPr>
        <w:t>關鍵詞：全國中小學科學展覽會、國中組、研究現象、桃園市、網站使用統計、APA 第 7 版</w:t>
      </w:r>
    </w:p>
    <w:p>
      <w:pPr>
        <w:pStyle w:val="Heading1"/>
      </w:pPr>
      <w:r>
        <w:rPr>
          <w:rFonts w:ascii="DFKai-SB" w:hAnsi="DFKai-SB" w:eastAsia="DFKai-SB" w:cs="DFKai-SB"/>
          <w:b w:val="0"/>
          <w:i w:val="0"/>
          <w:color w:val="000000"/>
          <w:sz w:val="24"/>
        </w:rPr>
        <w:t>資料範圍與統計口徑</w:t>
      </w:r>
    </w:p>
    <w:p>
      <w:pPr/>
      <w:r>
        <w:rPr>
          <w:rFonts w:ascii="DFKai-SB" w:hAnsi="DFKai-SB" w:eastAsia="DFKai-SB" w:cs="DFKai-SB"/>
          <w:b w:val="0"/>
          <w:i w:val="0"/>
          <w:color w:val="000000"/>
          <w:sz w:val="24"/>
        </w:rPr>
        <w:t>自然科資料包含物理、化學、生物與地球科學。第60至65屆已收錄四科前三名作品；第66屆目前以官方大會獎名冊核對並收錄地球科學前三名。桃園市成績以第57至66屆官方國中組大會獎名冊中、學校所在地為桃園市的作品計數。獲獎率只對第57至65屆使用「大會獎作品數 ÷ 桃園市國中組參展作品數」計算，第66屆因無可對應的國中組參展件數而不計。</w:t>
      </w:r>
    </w:p>
    <w:p>
      <w:pPr>
        <w:keepNext/>
        <w:spacing w:before="180" w:after="0"/>
        <w:jc w:val="left"/>
      </w:pPr>
      <w:r>
        <w:rPr>
          <w:rFonts w:ascii="DFKai-SB" w:hAnsi="DFKai-SB" w:eastAsia="DFKai-SB" w:cs="DFKai-SB"/>
          <w:b/>
          <w:i w:val="0"/>
          <w:color w:val="000000"/>
          <w:sz w:val="24"/>
        </w:rPr>
        <w:t>Table 1</w:t>
      </w:r>
    </w:p>
    <w:p>
      <w:pPr>
        <w:keepNext/>
        <w:spacing w:after="120"/>
        <w:jc w:val="left"/>
      </w:pPr>
      <w:r>
        <w:rPr>
          <w:rFonts w:ascii="DFKai-SB" w:hAnsi="DFKai-SB" w:eastAsia="DFKai-SB" w:cs="DFKai-SB"/>
          <w:b w:val="0"/>
          <w:i/>
          <w:color w:val="000000"/>
          <w:sz w:val="24"/>
        </w:rPr>
        <w:t>資料集範圍與呈現用途</w:t>
      </w:r>
    </w:p>
    <w:tbl>
      <w:tblPr>
        <w:tblStyle w:val="TableGrid"/>
        <w:tblW w:type="dxa" w:w="9360"/>
        <w:tblLayout w:type="fixed"/>
        <w:tblLook w:firstColumn="1" w:firstRow="1" w:lastColumn="0" w:lastRow="0" w:noHBand="0" w:noVBand="1" w:val="04A0"/>
        <w:tblInd w:w="120" w:type="dxa"/>
      </w:tblPr>
      <w:tblGrid>
        <w:gridCol w:w="2400"/>
        <w:gridCol w:w="4000"/>
        <w:gridCol w:w="2960"/>
      </w:tblGrid>
      <w:tr>
        <w:trPr>
          <w:tblHeader w:val="true"/>
        </w:trPr>
        <w:tc>
          <w:tcPr>
            <w:tcW w:type="dxa" w:w="24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資料模組</w:t>
            </w:r>
          </w:p>
        </w:tc>
        <w:tc>
          <w:tcPr>
            <w:tcW w:type="dxa" w:w="40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範圍</w:t>
            </w:r>
          </w:p>
        </w:tc>
        <w:tc>
          <w:tcPr>
            <w:tcW w:type="dxa" w:w="296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用途</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自然科作品資料</w:t>
            </w:r>
          </w:p>
        </w:tc>
        <w:tc>
          <w:tcPr>
            <w:tcW w:type="dxa" w:w="40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第60–65屆四科前三名；第66屆地球科學前三名</w:t>
            </w:r>
          </w:p>
        </w:tc>
        <w:tc>
          <w:tcPr>
            <w:tcW w:type="dxa" w:w="29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作品查詢、現象分類與研究架構分析</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自然科全文索引</w:t>
            </w:r>
          </w:p>
        </w:tc>
        <w:tc>
          <w:tcPr>
            <w:tcW w:type="dxa" w:w="40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第61–64屆 70 份官方作品全文</w:t>
            </w:r>
          </w:p>
        </w:tc>
        <w:tc>
          <w:tcPr>
            <w:tcW w:type="dxa" w:w="29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核對摘要、方法、結果與結論章節</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桃園市成績</w:t>
            </w:r>
          </w:p>
        </w:tc>
        <w:tc>
          <w:tcPr>
            <w:tcW w:type="dxa" w:w="40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第57–66屆國中組大會獎名冊</w:t>
            </w:r>
          </w:p>
        </w:tc>
        <w:tc>
          <w:tcPr>
            <w:tcW w:type="dxa" w:w="29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逐屆成績、學科與獲獎率分析</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網站使用統計</w:t>
            </w:r>
          </w:p>
        </w:tc>
        <w:tc>
          <w:tcPr>
            <w:tcW w:type="dxa" w:w="40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後台啟用後之匿名日彙總</w:t>
            </w:r>
          </w:p>
        </w:tc>
        <w:tc>
          <w:tcPr>
            <w:tcW w:type="dxa" w:w="29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了解內容頁與資料包的使用情形</w:t>
            </w:r>
          </w:p>
        </w:tc>
      </w:tr>
    </w:tbl>
    <w:p>
      <w:pPr>
        <w:spacing w:after="40" w:line="320" w:lineRule="auto"/>
        <w:jc w:val="left"/>
      </w:pPr>
      <w:r>
        <w:rPr>
          <w:rFonts w:ascii="DFKai-SB" w:hAnsi="DFKai-SB" w:eastAsia="DFKai-SB" w:cs="DFKai-SB"/>
          <w:b w:val="0"/>
          <w:i w:val="0"/>
          <w:color w:val="000000"/>
          <w:sz w:val="21"/>
        </w:rPr>
        <w:t>註. 資料來源為本站整理之官方全國科展得獎名冊、作品全文索引與桃園市國中組統計資料。</w:t>
      </w:r>
    </w:p>
    <w:p>
      <w:pPr>
        <w:spacing w:after="240" w:line="480" w:lineRule="auto"/>
        <w:jc w:val="both"/>
      </w:pPr>
      <w:r>
        <w:rPr>
          <w:rFonts w:ascii="DFKai-SB" w:hAnsi="DFKai-SB" w:eastAsia="DFKai-SB" w:cs="DFKai-SB"/>
          <w:b w:val="0"/>
          <w:i w:val="0"/>
          <w:color w:val="000000"/>
          <w:sz w:val="23"/>
        </w:rPr>
        <w:t>研究結果說明. 資料集採「名冊—全文—人工分析」三層證據架構。這讓統計圖可快速勾勒全貌，而研究架構頁仍能回到作品全文檢核方法與結論。</w:t>
      </w:r>
    </w:p>
    <w:p>
      <w:pPr>
        <w:pStyle w:val="Heading1"/>
      </w:pPr>
      <w:r>
        <w:rPr>
          <w:rFonts w:ascii="DFKai-SB" w:hAnsi="DFKai-SB" w:eastAsia="DFKai-SB" w:cs="DFKai-SB"/>
          <w:b w:val="0"/>
          <w:i w:val="0"/>
          <w:color w:val="000000"/>
          <w:sz w:val="24"/>
        </w:rPr>
        <w:t>自然科作品收錄與主現象</w:t>
      </w:r>
    </w:p>
    <w:p>
      <w:pPr>
        <w:keepNext/>
        <w:spacing w:before="180" w:after="0"/>
        <w:jc w:val="left"/>
      </w:pPr>
      <w:r>
        <w:rPr>
          <w:rFonts w:ascii="DFKai-SB" w:hAnsi="DFKai-SB" w:eastAsia="DFKai-SB" w:cs="DFKai-SB"/>
          <w:b/>
          <w:i w:val="0"/>
          <w:color w:val="000000"/>
          <w:sz w:val="24"/>
        </w:rPr>
        <w:t>Figure 1</w:t>
      </w:r>
    </w:p>
    <w:p>
      <w:pPr>
        <w:keepNext/>
        <w:spacing w:after="120"/>
        <w:jc w:val="left"/>
      </w:pPr>
      <w:r>
        <w:rPr>
          <w:rFonts w:ascii="DFKai-SB" w:hAnsi="DFKai-SB" w:eastAsia="DFKai-SB" w:cs="DFKai-SB"/>
          <w:b w:val="0"/>
          <w:i/>
          <w:color w:val="000000"/>
          <w:sz w:val="24"/>
        </w:rPr>
        <w:t>第60至66屆自然科作品收錄量</w:t>
      </w:r>
    </w:p>
    <w:p>
      <w:pPr>
        <w:keepNext/>
        <w:jc w:val="center"/>
      </w:pPr>
      <w:r>
        <w:drawing>
          <wp:inline xmlns:a="http://schemas.openxmlformats.org/drawingml/2006/main" xmlns:pic="http://schemas.openxmlformats.org/drawingml/2006/picture">
            <wp:extent cx="5715000" cy="3302000"/>
            <wp:docPr id="1" name="Picture 1"/>
            <wp:cNvGraphicFramePr>
              <a:graphicFrameLocks noChangeAspect="1"/>
            </wp:cNvGraphicFramePr>
            <a:graphic>
              <a:graphicData uri="http://schemas.openxmlformats.org/drawingml/2006/picture">
                <pic:pic>
                  <pic:nvPicPr>
                    <pic:cNvPr id="0" name="figure-1-editions.png"/>
                    <pic:cNvPicPr/>
                  </pic:nvPicPr>
                  <pic:blipFill>
                    <a:blip r:embed="rId10"/>
                    <a:stretch>
                      <a:fillRect/>
                    </a:stretch>
                  </pic:blipFill>
                  <pic:spPr>
                    <a:xfrm>
                      <a:off x="0" y="0"/>
                      <a:ext cx="5715000" cy="3302000"/>
                    </a:xfrm>
                    <a:prstGeom prst="rect"/>
                  </pic:spPr>
                </pic:pic>
              </a:graphicData>
            </a:graphic>
          </wp:inline>
        </w:drawing>
      </w:r>
    </w:p>
    <w:p>
      <w:pPr>
        <w:spacing w:after="40" w:line="320" w:lineRule="auto"/>
        <w:jc w:val="left"/>
      </w:pPr>
      <w:r>
        <w:rPr>
          <w:rFonts w:ascii="DFKai-SB" w:hAnsi="DFKai-SB" w:eastAsia="DFKai-SB" w:cs="DFKai-SB"/>
          <w:b w:val="0"/>
          <w:i w:val="0"/>
          <w:color w:val="000000"/>
          <w:sz w:val="21"/>
        </w:rPr>
        <w:t>註. 第60至65屆為物理、化學、生物、地球科學四科；第66屆目前僅納入地球科學前三名。</w:t>
      </w:r>
    </w:p>
    <w:p>
      <w:pPr>
        <w:spacing w:after="240" w:line="480" w:lineRule="auto"/>
        <w:jc w:val="both"/>
      </w:pPr>
      <w:r>
        <w:rPr>
          <w:rFonts w:ascii="DFKai-SB" w:hAnsi="DFKai-SB" w:eastAsia="DFKai-SB" w:cs="DFKai-SB"/>
          <w:b w:val="0"/>
          <w:i w:val="0"/>
          <w:color w:val="000000"/>
          <w:sz w:val="23"/>
        </w:rPr>
        <w:t>研究結果說明. 第60至65屆各屆的四科資料量大致穩定；第66屆較低並非代表參賽或得獎量下降，而是本站尚在進行其餘三科的官方名冊核對。</w:t>
      </w:r>
    </w:p>
    <w:p>
      <w:pPr>
        <w:keepNext/>
        <w:spacing w:before="180" w:after="0"/>
        <w:jc w:val="left"/>
      </w:pPr>
      <w:r>
        <w:rPr>
          <w:rFonts w:ascii="DFKai-SB" w:hAnsi="DFKai-SB" w:eastAsia="DFKai-SB" w:cs="DFKai-SB"/>
          <w:b/>
          <w:i w:val="0"/>
          <w:color w:val="000000"/>
          <w:sz w:val="24"/>
        </w:rPr>
        <w:t>Table 2</w:t>
      </w:r>
    </w:p>
    <w:p>
      <w:pPr>
        <w:keepNext/>
        <w:spacing w:after="120"/>
        <w:jc w:val="left"/>
      </w:pPr>
      <w:r>
        <w:rPr>
          <w:rFonts w:ascii="DFKai-SB" w:hAnsi="DFKai-SB" w:eastAsia="DFKai-SB" w:cs="DFKai-SB"/>
          <w:b w:val="0"/>
          <w:i/>
          <w:color w:val="000000"/>
          <w:sz w:val="24"/>
        </w:rPr>
        <w:t>第60至66屆自然科作品收錄量</w:t>
      </w:r>
    </w:p>
    <w:tbl>
      <w:tblPr>
        <w:tblStyle w:val="TableGrid"/>
        <w:tblW w:type="dxa" w:w="9360"/>
        <w:tblLayout w:type="fixed"/>
        <w:tblLook w:firstColumn="1" w:firstRow="1" w:lastColumn="0" w:lastRow="0" w:noHBand="0" w:noVBand="1" w:val="04A0"/>
        <w:tblInd w:w="120" w:type="dxa"/>
      </w:tblPr>
      <w:tblGrid>
        <w:gridCol w:w="4680"/>
        <w:gridCol w:w="4680"/>
      </w:tblGrid>
      <w:tr>
        <w:trPr>
          <w:tblHeader w:val="true"/>
        </w:trPr>
        <w:tc>
          <w:tcPr>
            <w:tcW w:type="dxa" w:w="468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屆次</w:t>
            </w:r>
          </w:p>
        </w:tc>
        <w:tc>
          <w:tcPr>
            <w:tcW w:type="dxa" w:w="468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收錄作品數</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第60屆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18</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第61屆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18</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第62屆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16</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第63屆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18</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第64屆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18</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第65屆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16</w:t>
            </w:r>
          </w:p>
        </w:tc>
      </w:tr>
      <w:tr>
        <w:tc>
          <w:tcPr>
            <w:tcW w:type="dxa" w:w="468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第66屆</w:t>
            </w:r>
          </w:p>
        </w:tc>
        <w:tc>
          <w:tcPr>
            <w:tcW w:type="dxa" w:w="468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w:t>
            </w:r>
          </w:p>
        </w:tc>
      </w:tr>
    </w:tbl>
    <w:p>
      <w:pPr>
        <w:spacing w:after="40" w:line="320" w:lineRule="auto"/>
        <w:jc w:val="left"/>
      </w:pPr>
      <w:r>
        <w:rPr>
          <w:rFonts w:ascii="DFKai-SB" w:hAnsi="DFKai-SB" w:eastAsia="DFKai-SB" w:cs="DFKai-SB"/>
          <w:b w:val="0"/>
          <w:i w:val="0"/>
          <w:color w:val="000000"/>
          <w:sz w:val="21"/>
        </w:rPr>
        <w:t>註. 同 Figure 1 的資料範圍。</w:t>
      </w:r>
    </w:p>
    <w:p>
      <w:pPr>
        <w:spacing w:after="240" w:line="480" w:lineRule="auto"/>
        <w:jc w:val="both"/>
      </w:pPr>
      <w:r>
        <w:rPr>
          <w:rFonts w:ascii="DFKai-SB" w:hAnsi="DFKai-SB" w:eastAsia="DFKai-SB" w:cs="DFKai-SB"/>
          <w:b w:val="0"/>
          <w:i w:val="0"/>
          <w:color w:val="000000"/>
          <w:sz w:val="23"/>
        </w:rPr>
        <w:t>研究結果說明. 本表為 Figure 1 的全部基礎數值。使用者在比較各屆前，應先注意第66屆的科別涵蓋範圍不同，避免把資料完備度的差異誤判為競賽趨勢。</w:t>
      </w:r>
    </w:p>
    <w:p>
      <w:pPr>
        <w:keepNext/>
        <w:spacing w:before="180" w:after="0"/>
        <w:jc w:val="left"/>
      </w:pPr>
      <w:r>
        <w:rPr>
          <w:rFonts w:ascii="DFKai-SB" w:hAnsi="DFKai-SB" w:eastAsia="DFKai-SB" w:cs="DFKai-SB"/>
          <w:b/>
          <w:i w:val="0"/>
          <w:color w:val="000000"/>
          <w:sz w:val="24"/>
        </w:rPr>
        <w:t>Figure 2</w:t>
      </w:r>
    </w:p>
    <w:p>
      <w:pPr>
        <w:keepNext/>
        <w:spacing w:after="120"/>
        <w:jc w:val="left"/>
      </w:pPr>
      <w:r>
        <w:rPr>
          <w:rFonts w:ascii="DFKai-SB" w:hAnsi="DFKai-SB" w:eastAsia="DFKai-SB" w:cs="DFKai-SB"/>
          <w:b w:val="0"/>
          <w:i/>
          <w:color w:val="000000"/>
          <w:sz w:val="24"/>
        </w:rPr>
        <w:t>四個自然科的主要研究現象分布</w:t>
      </w:r>
    </w:p>
    <w:p>
      <w:pPr>
        <w:keepNext/>
        <w:jc w:val="center"/>
      </w:pPr>
      <w:r>
        <w:drawing>
          <wp:inline xmlns:a="http://schemas.openxmlformats.org/drawingml/2006/main" xmlns:pic="http://schemas.openxmlformats.org/drawingml/2006/picture">
            <wp:extent cx="5715000" cy="3302000"/>
            <wp:docPr id="2" name="Picture 2"/>
            <wp:cNvGraphicFramePr>
              <a:graphicFrameLocks noChangeAspect="1"/>
            </wp:cNvGraphicFramePr>
            <a:graphic>
              <a:graphicData uri="http://schemas.openxmlformats.org/drawingml/2006/picture">
                <pic:pic>
                  <pic:nvPicPr>
                    <pic:cNvPr id="0" name="figure-2-phenomena.png"/>
                    <pic:cNvPicPr/>
                  </pic:nvPicPr>
                  <pic:blipFill>
                    <a:blip r:embed="rId11"/>
                    <a:stretch>
                      <a:fillRect/>
                    </a:stretch>
                  </pic:blipFill>
                  <pic:spPr>
                    <a:xfrm>
                      <a:off x="0" y="0"/>
                      <a:ext cx="5715000" cy="3302000"/>
                    </a:xfrm>
                    <a:prstGeom prst="rect"/>
                  </pic:spPr>
                </pic:pic>
              </a:graphicData>
            </a:graphic>
          </wp:inline>
        </w:drawing>
      </w:r>
    </w:p>
    <w:p>
      <w:pPr>
        <w:spacing w:after="40" w:line="320" w:lineRule="auto"/>
        <w:jc w:val="left"/>
      </w:pPr>
      <w:r>
        <w:rPr>
          <w:rFonts w:ascii="DFKai-SB" w:hAnsi="DFKai-SB" w:eastAsia="DFKai-SB" w:cs="DFKai-SB"/>
          <w:b w:val="0"/>
          <w:i w:val="0"/>
          <w:color w:val="000000"/>
          <w:sz w:val="21"/>
        </w:rPr>
        <w:t>註. 每件作品依網站設定之主要研究現象歸類，同一件作品只計入一個類別。</w:t>
      </w:r>
    </w:p>
    <w:p>
      <w:pPr>
        <w:spacing w:after="240" w:line="480" w:lineRule="auto"/>
        <w:jc w:val="both"/>
      </w:pPr>
      <w:r>
        <w:rPr>
          <w:rFonts w:ascii="DFKai-SB" w:hAnsi="DFKai-SB" w:eastAsia="DFKai-SB" w:cs="DFKai-SB"/>
          <w:b w:val="0"/>
          <w:i w:val="0"/>
          <w:color w:val="000000"/>
          <w:sz w:val="23"/>
        </w:rPr>
        <w:t>研究結果說明. 物理科較集中於流體與振動；化學科主要落在氧化還原、光學分析、層析或溶解；生物科以動物行為與生態為主；地球科學則分散於大氣、地質、水文及天文觀測。分類結果可協助教師由高頻現象反推可行的量測與證據設計。</w:t>
      </w:r>
    </w:p>
    <w:p>
      <w:pPr>
        <w:keepNext/>
        <w:spacing w:before="180" w:after="0"/>
        <w:jc w:val="left"/>
      </w:pPr>
      <w:r>
        <w:rPr>
          <w:rFonts w:ascii="DFKai-SB" w:hAnsi="DFKai-SB" w:eastAsia="DFKai-SB" w:cs="DFKai-SB"/>
          <w:b/>
          <w:i w:val="0"/>
          <w:color w:val="000000"/>
          <w:sz w:val="24"/>
        </w:rPr>
        <w:t>Table 3</w:t>
      </w:r>
    </w:p>
    <w:p>
      <w:pPr>
        <w:keepNext/>
        <w:spacing w:after="120"/>
        <w:jc w:val="left"/>
      </w:pPr>
      <w:r>
        <w:rPr>
          <w:rFonts w:ascii="DFKai-SB" w:hAnsi="DFKai-SB" w:eastAsia="DFKai-SB" w:cs="DFKai-SB"/>
          <w:b w:val="0"/>
          <w:i/>
          <w:color w:val="000000"/>
          <w:sz w:val="24"/>
        </w:rPr>
        <w:t>各科主要研究現象的完整分布</w:t>
      </w:r>
    </w:p>
    <w:tbl>
      <w:tblPr>
        <w:tblStyle w:val="TableGrid"/>
        <w:tblW w:type="dxa" w:w="9360"/>
        <w:tblLayout w:type="fixed"/>
        <w:tblLook w:firstColumn="1" w:firstRow="1" w:lastColumn="0" w:lastRow="0" w:noHBand="0" w:noVBand="1" w:val="04A0"/>
        <w:tblInd w:w="120" w:type="dxa"/>
      </w:tblPr>
      <w:tblGrid>
        <w:gridCol w:w="2400"/>
        <w:gridCol w:w="5360"/>
        <w:gridCol w:w="1600"/>
      </w:tblGrid>
      <w:tr>
        <w:trPr>
          <w:tblHeader w:val="true"/>
        </w:trPr>
        <w:tc>
          <w:tcPr>
            <w:tcW w:type="dxa" w:w="24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科別</w:t>
            </w:r>
          </w:p>
        </w:tc>
        <w:tc>
          <w:tcPr>
            <w:tcW w:type="dxa" w:w="536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主要研究現象</w:t>
            </w:r>
          </w:p>
        </w:tc>
        <w:tc>
          <w:tcPr>
            <w:tcW w:type="dxa" w:w="16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作品數</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物理科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力學與物質</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9</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物理科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振動與波</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9</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物理科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流體力學</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8</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物理科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壓力與毛細</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物理科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熱與相變</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力學與物質</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光學分析</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氧化還原</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電磁與能量</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層析與吸附</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溶解與沉澱</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動物行為與生態</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11</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植物生理與逆境</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生態與環境</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微生物與生物技術</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振動與波</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污染與生態毒理</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大氣與氣候</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地質與地貌</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海洋與水文</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地球系統與環境</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天文、遙測與觀測</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r>
      <w:tr>
        <w:tc>
          <w:tcPr>
            <w:tcW w:type="dxa" w:w="24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5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地球災害與防災</w:t>
            </w:r>
          </w:p>
        </w:tc>
        <w:tc>
          <w:tcPr>
            <w:tcW w:type="dxa" w:w="16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r>
    </w:tbl>
    <w:p>
      <w:pPr>
        <w:spacing w:after="40" w:line="320" w:lineRule="auto"/>
        <w:jc w:val="left"/>
      </w:pPr>
      <w:r>
        <w:rPr>
          <w:rFonts w:ascii="DFKai-SB" w:hAnsi="DFKai-SB" w:eastAsia="DFKai-SB" w:cs="DFKai-SB"/>
          <w:b w:val="0"/>
          <w:i w:val="0"/>
          <w:color w:val="000000"/>
          <w:sz w:val="21"/>
        </w:rPr>
        <w:t>註. 資料為本網站收錄作品之主要現象分類；分類規則已在資料說明頁揭示。</w:t>
      </w:r>
    </w:p>
    <w:p>
      <w:pPr>
        <w:spacing w:after="240" w:line="480" w:lineRule="auto"/>
        <w:jc w:val="both"/>
      </w:pPr>
      <w:r>
        <w:rPr>
          <w:rFonts w:ascii="DFKai-SB" w:hAnsi="DFKai-SB" w:eastAsia="DFKai-SB" w:cs="DFKai-SB"/>
          <w:b w:val="0"/>
          <w:i w:val="0"/>
          <w:color w:val="000000"/>
          <w:sz w:val="23"/>
        </w:rPr>
        <w:t>研究結果說明. 各科現象分布並不等於研究品質排名。較高的計數反映作品題名與研究問題在特定生活或科學情境中的聚集，適合作為選題盤點與案例搜尋的起點。</w:t>
      </w:r>
    </w:p>
    <w:p>
      <w:pPr>
        <w:pStyle w:val="Heading1"/>
      </w:pPr>
      <w:r>
        <w:rPr>
          <w:rFonts w:ascii="DFKai-SB" w:hAnsi="DFKai-SB" w:eastAsia="DFKai-SB" w:cs="DFKai-SB"/>
          <w:b w:val="0"/>
          <w:i w:val="0"/>
          <w:color w:val="000000"/>
          <w:sz w:val="24"/>
        </w:rPr>
        <w:t>桃園市國中組全國科展成績</w:t>
      </w:r>
    </w:p>
    <w:p>
      <w:pPr>
        <w:keepNext/>
        <w:spacing w:before="180" w:after="0"/>
        <w:jc w:val="left"/>
      </w:pPr>
      <w:r>
        <w:rPr>
          <w:rFonts w:ascii="DFKai-SB" w:hAnsi="DFKai-SB" w:eastAsia="DFKai-SB" w:cs="DFKai-SB"/>
          <w:b/>
          <w:i w:val="0"/>
          <w:color w:val="000000"/>
          <w:sz w:val="24"/>
        </w:rPr>
        <w:t>Figure 3</w:t>
      </w:r>
    </w:p>
    <w:p>
      <w:pPr>
        <w:keepNext/>
        <w:spacing w:after="120"/>
        <w:jc w:val="left"/>
      </w:pPr>
      <w:r>
        <w:rPr>
          <w:rFonts w:ascii="DFKai-SB" w:hAnsi="DFKai-SB" w:eastAsia="DFKai-SB" w:cs="DFKai-SB"/>
          <w:b w:val="0"/>
          <w:i/>
          <w:color w:val="000000"/>
          <w:sz w:val="24"/>
        </w:rPr>
        <w:t>桃園市國中組逐屆大會獎與參展作品數</w:t>
      </w:r>
    </w:p>
    <w:p>
      <w:pPr>
        <w:keepNext/>
        <w:jc w:val="center"/>
      </w:pPr>
      <w:r>
        <w:drawing>
          <wp:inline xmlns:a="http://schemas.openxmlformats.org/drawingml/2006/main" xmlns:pic="http://schemas.openxmlformats.org/drawingml/2006/picture">
            <wp:extent cx="5715000" cy="3302000"/>
            <wp:docPr id="3" name="Picture 3"/>
            <wp:cNvGraphicFramePr>
              <a:graphicFrameLocks noChangeAspect="1"/>
            </wp:cNvGraphicFramePr>
            <a:graphic>
              <a:graphicData uri="http://schemas.openxmlformats.org/drawingml/2006/picture">
                <pic:pic>
                  <pic:nvPicPr>
                    <pic:cNvPr id="0" name="figure-3-taoyuan-annual.png"/>
                    <pic:cNvPicPr/>
                  </pic:nvPicPr>
                  <pic:blipFill>
                    <a:blip r:embed="rId12"/>
                    <a:stretch>
                      <a:fillRect/>
                    </a:stretch>
                  </pic:blipFill>
                  <pic:spPr>
                    <a:xfrm>
                      <a:off x="0" y="0"/>
                      <a:ext cx="5715000" cy="3302000"/>
                    </a:xfrm>
                    <a:prstGeom prst="rect"/>
                  </pic:spPr>
                </pic:pic>
              </a:graphicData>
            </a:graphic>
          </wp:inline>
        </w:drawing>
      </w:r>
    </w:p>
    <w:p>
      <w:pPr>
        <w:spacing w:after="40" w:line="320" w:lineRule="auto"/>
        <w:jc w:val="left"/>
      </w:pPr>
      <w:r>
        <w:rPr>
          <w:rFonts w:ascii="DFKai-SB" w:hAnsi="DFKai-SB" w:eastAsia="DFKai-SB" w:cs="DFKai-SB"/>
          <w:b w:val="0"/>
          <w:i w:val="0"/>
          <w:color w:val="000000"/>
          <w:sz w:val="21"/>
        </w:rPr>
        <w:t>註. 資料取自第57至66屆官方國中組名冊。第66屆僅呈現大會獎數，未以全市國中小組分配件數作為國中組分母。</w:t>
      </w:r>
    </w:p>
    <w:p>
      <w:pPr>
        <w:spacing w:after="240" w:line="480" w:lineRule="auto"/>
        <w:jc w:val="both"/>
      </w:pPr>
      <w:r>
        <w:rPr>
          <w:rFonts w:ascii="DFKai-SB" w:hAnsi="DFKai-SB" w:eastAsia="DFKai-SB" w:cs="DFKai-SB"/>
          <w:b w:val="0"/>
          <w:i w:val="0"/>
          <w:color w:val="000000"/>
          <w:sz w:val="23"/>
        </w:rPr>
        <w:t>研究結果說明. 桃園市在第62至65屆連續維持每屆6件大會獎，第66屆官方名冊已見8件。趨勢顯示近年得獎量具穩定性；但不同屆次的參展配額與獎項結構可能不同，不能由此直接推論培育措施的因果效果。</w:t>
      </w:r>
    </w:p>
    <w:p>
      <w:pPr>
        <w:keepNext/>
        <w:spacing w:before="180" w:after="0"/>
        <w:jc w:val="left"/>
      </w:pPr>
      <w:r>
        <w:rPr>
          <w:rFonts w:ascii="DFKai-SB" w:hAnsi="DFKai-SB" w:eastAsia="DFKai-SB" w:cs="DFKai-SB"/>
          <w:b/>
          <w:i w:val="0"/>
          <w:color w:val="000000"/>
          <w:sz w:val="24"/>
        </w:rPr>
        <w:t>Table 4</w:t>
      </w:r>
    </w:p>
    <w:p>
      <w:pPr>
        <w:keepNext/>
        <w:spacing w:after="120"/>
        <w:jc w:val="left"/>
      </w:pPr>
      <w:r>
        <w:rPr>
          <w:rFonts w:ascii="DFKai-SB" w:hAnsi="DFKai-SB" w:eastAsia="DFKai-SB" w:cs="DFKai-SB"/>
          <w:b w:val="0"/>
          <w:i/>
          <w:color w:val="000000"/>
          <w:sz w:val="24"/>
        </w:rPr>
        <w:t>桃園市國中組逐屆成績與獲獎率</w:t>
      </w:r>
    </w:p>
    <w:tbl>
      <w:tblPr>
        <w:tblStyle w:val="TableGrid"/>
        <w:tblW w:type="dxa" w:w="9360"/>
        <w:tblLayout w:type="fixed"/>
        <w:tblLook w:firstColumn="1" w:firstRow="1" w:lastColumn="0" w:lastRow="0" w:noHBand="0" w:noVBand="1" w:val="04A0"/>
        <w:tblInd w:w="120" w:type="dxa"/>
      </w:tblPr>
      <w:tblGrid>
        <w:gridCol w:w="1500"/>
        <w:gridCol w:w="1900"/>
        <w:gridCol w:w="1800"/>
        <w:gridCol w:w="1800"/>
        <w:gridCol w:w="2360"/>
      </w:tblGrid>
      <w:tr>
        <w:trPr>
          <w:tblHeader w:val="true"/>
        </w:trPr>
        <w:tc>
          <w:tcPr>
            <w:tcW w:type="dxa" w:w="15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屆次</w:t>
            </w:r>
          </w:p>
        </w:tc>
        <w:tc>
          <w:tcPr>
            <w:tcW w:type="dxa" w:w="19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參展作品</w:t>
            </w:r>
          </w:p>
        </w:tc>
        <w:tc>
          <w:tcPr>
            <w:tcW w:type="dxa" w:w="18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大會獎</w:t>
            </w:r>
          </w:p>
        </w:tc>
        <w:tc>
          <w:tcPr>
            <w:tcW w:type="dxa" w:w="18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前三名</w:t>
            </w:r>
          </w:p>
        </w:tc>
        <w:tc>
          <w:tcPr>
            <w:tcW w:type="dxa" w:w="236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獲獎率</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第57屆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11</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63.6%</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第58屆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10</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70.0%</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第59屆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11</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63.6%</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第60屆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10</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40.0%</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第61屆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11</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45.5%</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第62屆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12</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50.0%</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第63屆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12</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50.0%</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第64屆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12</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4</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50.0%</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第65屆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12</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50.0%</w:t>
            </w:r>
          </w:p>
        </w:tc>
      </w:tr>
      <w:tr>
        <w:tc>
          <w:tcPr>
            <w:tcW w:type="dxa" w:w="1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第66屆</w:t>
            </w:r>
          </w:p>
        </w:tc>
        <w:tc>
          <w:tcPr>
            <w:tcW w:type="dxa" w:w="19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未公布</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8</w:t>
            </w:r>
          </w:p>
        </w:tc>
        <w:tc>
          <w:tcPr>
            <w:tcW w:type="dxa" w:w="18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c>
          <w:tcPr>
            <w:tcW w:type="dxa" w:w="236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不適用</w:t>
            </w:r>
          </w:p>
        </w:tc>
      </w:tr>
    </w:tbl>
    <w:p>
      <w:pPr>
        <w:spacing w:after="40" w:line="320" w:lineRule="auto"/>
        <w:jc w:val="left"/>
      </w:pPr>
      <w:r>
        <w:rPr>
          <w:rFonts w:ascii="DFKai-SB" w:hAnsi="DFKai-SB" w:eastAsia="DFKai-SB" w:cs="DFKai-SB"/>
          <w:b w:val="0"/>
          <w:i w:val="0"/>
          <w:color w:val="000000"/>
          <w:sz w:val="21"/>
        </w:rPr>
        <w:t>註. 大會獎含前三名、佳作與特別獎；第66屆國中組參展件數未可直接對應，故不計獲獎率。</w:t>
      </w:r>
    </w:p>
    <w:p>
      <w:pPr>
        <w:spacing w:after="240" w:line="480" w:lineRule="auto"/>
        <w:jc w:val="both"/>
      </w:pPr>
      <w:r>
        <w:rPr>
          <w:rFonts w:ascii="DFKai-SB" w:hAnsi="DFKai-SB" w:eastAsia="DFKai-SB" w:cs="DFKai-SB"/>
          <w:b w:val="0"/>
          <w:i w:val="0"/>
          <w:color w:val="000000"/>
          <w:sz w:val="23"/>
        </w:rPr>
        <w:t>研究結果說明. 第57至65屆的獲獎率約介於33.3%至70.0%。表中的「大會獎」採作品數而非獎項數計算，避免同一作品有名次與特別獎時被重複計入。</w:t>
      </w:r>
    </w:p>
    <w:p>
      <w:pPr>
        <w:keepNext/>
        <w:spacing w:before="180" w:after="0"/>
        <w:jc w:val="left"/>
      </w:pPr>
      <w:r>
        <w:rPr>
          <w:rFonts w:ascii="DFKai-SB" w:hAnsi="DFKai-SB" w:eastAsia="DFKai-SB" w:cs="DFKai-SB"/>
          <w:b/>
          <w:i w:val="0"/>
          <w:color w:val="000000"/>
          <w:sz w:val="24"/>
        </w:rPr>
        <w:t>Figure 4</w:t>
      </w:r>
    </w:p>
    <w:p>
      <w:pPr>
        <w:keepNext/>
        <w:spacing w:after="120"/>
        <w:jc w:val="left"/>
      </w:pPr>
      <w:r>
        <w:rPr>
          <w:rFonts w:ascii="DFKai-SB" w:hAnsi="DFKai-SB" w:eastAsia="DFKai-SB" w:cs="DFKai-SB"/>
          <w:b w:val="0"/>
          <w:i/>
          <w:color w:val="000000"/>
          <w:sz w:val="24"/>
        </w:rPr>
        <w:t>桃園市國中組得獎主力學科</w:t>
      </w:r>
    </w:p>
    <w:p>
      <w:pPr>
        <w:keepNext/>
        <w:jc w:val="center"/>
      </w:pPr>
      <w:r>
        <w:drawing>
          <wp:inline xmlns:a="http://schemas.openxmlformats.org/drawingml/2006/main" xmlns:pic="http://schemas.openxmlformats.org/drawingml/2006/picture">
            <wp:extent cx="5715000" cy="3302000"/>
            <wp:docPr id="4" name="Picture 4"/>
            <wp:cNvGraphicFramePr>
              <a:graphicFrameLocks noChangeAspect="1"/>
            </wp:cNvGraphicFramePr>
            <a:graphic>
              <a:graphicData uri="http://schemas.openxmlformats.org/drawingml/2006/picture">
                <pic:pic>
                  <pic:nvPicPr>
                    <pic:cNvPr id="0" name="figure-4-taoyuan-subjects.png"/>
                    <pic:cNvPicPr/>
                  </pic:nvPicPr>
                  <pic:blipFill>
                    <a:blip r:embed="rId13"/>
                    <a:stretch>
                      <a:fillRect/>
                    </a:stretch>
                  </pic:blipFill>
                  <pic:spPr>
                    <a:xfrm>
                      <a:off x="0" y="0"/>
                      <a:ext cx="5715000" cy="3302000"/>
                    </a:xfrm>
                    <a:prstGeom prst="rect"/>
                  </pic:spPr>
                </pic:pic>
              </a:graphicData>
            </a:graphic>
          </wp:inline>
        </w:drawing>
      </w:r>
    </w:p>
    <w:p>
      <w:pPr>
        <w:spacing w:after="40" w:line="320" w:lineRule="auto"/>
        <w:jc w:val="left"/>
      </w:pPr>
      <w:r>
        <w:rPr>
          <w:rFonts w:ascii="DFKai-SB" w:hAnsi="DFKai-SB" w:eastAsia="DFKai-SB" w:cs="DFKai-SB"/>
          <w:b w:val="0"/>
          <w:i w:val="0"/>
          <w:color w:val="000000"/>
          <w:sz w:val="21"/>
        </w:rPr>
        <w:t>註. 累積件數為第57至66屆大會獎作品數；生活與應用科學依官方分科分列。</w:t>
      </w:r>
    </w:p>
    <w:p>
      <w:pPr>
        <w:spacing w:after="240" w:line="480" w:lineRule="auto"/>
        <w:jc w:val="both"/>
      </w:pPr>
      <w:r>
        <w:rPr>
          <w:rFonts w:ascii="DFKai-SB" w:hAnsi="DFKai-SB" w:eastAsia="DFKai-SB" w:cs="DFKai-SB"/>
          <w:b w:val="0"/>
          <w:i w:val="0"/>
          <w:color w:val="000000"/>
          <w:sz w:val="23"/>
        </w:rPr>
        <w:t>研究結果說明. 數學科累積17件大會獎，為最長期的高產科別；生物科累積11件。若合併生活與應用科學三個分科則為14件，顯示桃園的得獎能量並非只集中於單一學科。</w:t>
      </w:r>
    </w:p>
    <w:p>
      <w:pPr>
        <w:keepNext/>
        <w:spacing w:before="180" w:after="0"/>
        <w:jc w:val="left"/>
      </w:pPr>
      <w:r>
        <w:rPr>
          <w:rFonts w:ascii="DFKai-SB" w:hAnsi="DFKai-SB" w:eastAsia="DFKai-SB" w:cs="DFKai-SB"/>
          <w:b/>
          <w:i w:val="0"/>
          <w:color w:val="000000"/>
          <w:sz w:val="24"/>
        </w:rPr>
        <w:t>Table 5</w:t>
      </w:r>
    </w:p>
    <w:p>
      <w:pPr>
        <w:keepNext/>
        <w:spacing w:after="120"/>
        <w:jc w:val="left"/>
      </w:pPr>
      <w:r>
        <w:rPr>
          <w:rFonts w:ascii="DFKai-SB" w:hAnsi="DFKai-SB" w:eastAsia="DFKai-SB" w:cs="DFKai-SB"/>
          <w:b w:val="0"/>
          <w:i/>
          <w:color w:val="000000"/>
          <w:sz w:val="24"/>
        </w:rPr>
        <w:t>桃園市國中組得獎主力學科之完整數據</w:t>
      </w:r>
    </w:p>
    <w:tbl>
      <w:tblPr>
        <w:tblStyle w:val="TableGrid"/>
        <w:tblW w:type="dxa" w:w="9360"/>
        <w:tblLayout w:type="fixed"/>
        <w:tblLook w:firstColumn="1" w:firstRow="1" w:lastColumn="0" w:lastRow="0" w:noHBand="0" w:noVBand="1" w:val="04A0"/>
        <w:tblInd w:w="120" w:type="dxa"/>
      </w:tblPr>
      <w:tblGrid>
        <w:gridCol w:w="4500"/>
        <w:gridCol w:w="2430"/>
        <w:gridCol w:w="2430"/>
      </w:tblGrid>
      <w:tr>
        <w:trPr>
          <w:tblHeader w:val="true"/>
        </w:trPr>
        <w:tc>
          <w:tcPr>
            <w:tcW w:type="dxa" w:w="45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科別</w:t>
            </w:r>
          </w:p>
        </w:tc>
        <w:tc>
          <w:tcPr>
            <w:tcW w:type="dxa" w:w="243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大會獎作品數</w:t>
            </w:r>
          </w:p>
        </w:tc>
        <w:tc>
          <w:tcPr>
            <w:tcW w:type="dxa" w:w="243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前三名作品數</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數學科</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17</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8</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生物科</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11</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6</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物理科</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8</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化學科</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生活與應用（一）</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7</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生活與應用（二）</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3</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地球科學科</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5</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r>
      <w:tr>
        <w:tc>
          <w:tcPr>
            <w:tcW w:type="dxa" w:w="45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生活與應用（三）</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2</w:t>
            </w:r>
          </w:p>
        </w:tc>
        <w:tc>
          <w:tcPr>
            <w:tcW w:type="dxa" w:w="243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1</w:t>
            </w:r>
          </w:p>
        </w:tc>
      </w:tr>
    </w:tbl>
    <w:p>
      <w:pPr>
        <w:spacing w:after="40" w:line="320" w:lineRule="auto"/>
        <w:jc w:val="left"/>
      </w:pPr>
      <w:r>
        <w:rPr>
          <w:rFonts w:ascii="DFKai-SB" w:hAnsi="DFKai-SB" w:eastAsia="DFKai-SB" w:cs="DFKai-SB"/>
          <w:b w:val="0"/>
          <w:i w:val="0"/>
          <w:color w:val="000000"/>
          <w:sz w:val="21"/>
        </w:rPr>
        <w:t>註. 資料取自第57至66屆官方國中組大會獎名冊。</w:t>
      </w:r>
    </w:p>
    <w:p>
      <w:pPr>
        <w:spacing w:after="240" w:line="480" w:lineRule="auto"/>
        <w:jc w:val="both"/>
      </w:pPr>
      <w:r>
        <w:rPr>
          <w:rFonts w:ascii="DFKai-SB" w:hAnsi="DFKai-SB" w:eastAsia="DFKai-SB" w:cs="DFKai-SB"/>
          <w:b w:val="0"/>
          <w:i w:val="0"/>
          <w:color w:val="000000"/>
          <w:sz w:val="23"/>
        </w:rPr>
        <w:t>研究結果說明. 前三名數可補充總得獎量的判讀：數學與生物不只累積得獎件數，也具有較多前段名次；生活與應用科學則呈現跨三分科的穩定貢獻。</w:t>
      </w:r>
    </w:p>
    <w:p>
      <w:pPr>
        <w:pStyle w:val="Heading1"/>
      </w:pPr>
      <w:r>
        <w:rPr>
          <w:rFonts w:ascii="DFKai-SB" w:hAnsi="DFKai-SB" w:eastAsia="DFKai-SB" w:cs="DFKai-SB"/>
          <w:b w:val="0"/>
          <w:i w:val="0"/>
          <w:color w:val="000000"/>
          <w:sz w:val="24"/>
        </w:rPr>
        <w:t>網站後台使用統計</w:t>
      </w:r>
    </w:p>
    <w:p>
      <w:pPr/>
      <w:r>
        <w:rPr>
          <w:rFonts w:ascii="DFKai-SB" w:hAnsi="DFKai-SB" w:eastAsia="DFKai-SB" w:cs="DFKai-SB"/>
          <w:b w:val="0"/>
          <w:i w:val="0"/>
          <w:color w:val="000000"/>
          <w:sz w:val="24"/>
        </w:rPr>
        <w:t>後台以每日彙總方式累計統計首頁、作品查詢、研究架構、桃園成績頁、後台頁面及 Word 資料包下載次數。系統不保存 IP、Cookie 指紋、姓名、電子郵件或可識別個人的瀏覽紀錄；在報告快照時點，使用統計尚屬正式啟用前的基準狀態。</w:t>
      </w:r>
    </w:p>
    <w:p>
      <w:pPr>
        <w:keepNext/>
        <w:spacing w:before="180" w:after="0"/>
        <w:jc w:val="left"/>
      </w:pPr>
      <w:r>
        <w:rPr>
          <w:rFonts w:ascii="DFKai-SB" w:hAnsi="DFKai-SB" w:eastAsia="DFKai-SB" w:cs="DFKai-SB"/>
          <w:b/>
          <w:i w:val="0"/>
          <w:color w:val="000000"/>
          <w:sz w:val="24"/>
        </w:rPr>
        <w:t>Table 6</w:t>
      </w:r>
    </w:p>
    <w:p>
      <w:pPr>
        <w:keepNext/>
        <w:spacing w:after="120"/>
        <w:jc w:val="left"/>
      </w:pPr>
      <w:r>
        <w:rPr>
          <w:rFonts w:ascii="DFKai-SB" w:hAnsi="DFKai-SB" w:eastAsia="DFKai-SB" w:cs="DFKai-SB"/>
          <w:b w:val="0"/>
          <w:i/>
          <w:color w:val="000000"/>
          <w:sz w:val="24"/>
        </w:rPr>
        <w:t>後台使用統計的指標定義與初始狀態</w:t>
      </w:r>
    </w:p>
    <w:tbl>
      <w:tblPr>
        <w:tblStyle w:val="TableGrid"/>
        <w:tblW w:type="dxa" w:w="9360"/>
        <w:tblLayout w:type="fixed"/>
        <w:tblLook w:firstColumn="1" w:firstRow="1" w:lastColumn="0" w:lastRow="0" w:noHBand="0" w:noVBand="1" w:val="04A0"/>
        <w:tblInd w:w="120" w:type="dxa"/>
      </w:tblPr>
      <w:tblGrid>
        <w:gridCol w:w="2300"/>
        <w:gridCol w:w="2550"/>
        <w:gridCol w:w="1500"/>
        <w:gridCol w:w="3010"/>
      </w:tblGrid>
      <w:tr>
        <w:trPr>
          <w:tblHeader w:val="true"/>
        </w:trPr>
        <w:tc>
          <w:tcPr>
            <w:tcW w:type="dxa" w:w="23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指標</w:t>
            </w:r>
          </w:p>
        </w:tc>
        <w:tc>
          <w:tcPr>
            <w:tcW w:type="dxa" w:w="255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計數單位</w:t>
            </w:r>
          </w:p>
        </w:tc>
        <w:tc>
          <w:tcPr>
            <w:tcW w:type="dxa" w:w="150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快照數值</w:t>
            </w:r>
          </w:p>
        </w:tc>
        <w:tc>
          <w:tcPr>
            <w:tcW w:type="dxa" w:w="3010"/>
            <w:shd w:fill="F4F6F9"/>
            <w:tcMar>
              <w:top w:w="80" w:type="dxa"/>
              <w:start w:w="120" w:type="dxa"/>
              <w:bottom w:w="80" w:type="dxa"/>
              <w:end w:w="120" w:type="dxa"/>
            </w:tcMar>
            <w:vAlign w:val="center"/>
          </w:tcPr>
          <w:p>
            <w:pPr>
              <w:jc w:val="center"/>
            </w:pPr>
            <w:r/>
            <w:r>
              <w:rPr>
                <w:rFonts w:ascii="DFKai-SB" w:hAnsi="DFKai-SB" w:eastAsia="DFKai-SB" w:cs="DFKai-SB"/>
                <w:b/>
                <w:i w:val="0"/>
                <w:color w:val="183B4D"/>
                <w:sz w:val="21"/>
              </w:rPr>
              <w:t>解讀</w:t>
            </w:r>
          </w:p>
        </w:tc>
      </w:tr>
      <w:tr>
        <w:tc>
          <w:tcPr>
            <w:tcW w:type="dxa" w:w="23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統計首頁瀏覽</w:t>
            </w:r>
          </w:p>
        </w:tc>
        <w:tc>
          <w:tcPr>
            <w:tcW w:type="dxa" w:w="255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前台切換至統計首頁</w:t>
            </w:r>
          </w:p>
        </w:tc>
        <w:tc>
          <w:tcPr>
            <w:tcW w:type="dxa" w:w="15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0</w:t>
            </w:r>
          </w:p>
        </w:tc>
        <w:tc>
          <w:tcPr>
            <w:tcW w:type="dxa" w:w="301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網站總覽的使用量</w:t>
            </w:r>
          </w:p>
        </w:tc>
      </w:tr>
      <w:tr>
        <w:tc>
          <w:tcPr>
            <w:tcW w:type="dxa" w:w="23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作品查詢瀏覽</w:t>
            </w:r>
          </w:p>
        </w:tc>
        <w:tc>
          <w:tcPr>
            <w:tcW w:type="dxa" w:w="255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前台切換至作品查詢</w:t>
            </w:r>
          </w:p>
        </w:tc>
        <w:tc>
          <w:tcPr>
            <w:tcW w:type="dxa" w:w="15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0</w:t>
            </w:r>
          </w:p>
        </w:tc>
        <w:tc>
          <w:tcPr>
            <w:tcW w:type="dxa" w:w="301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作品檢索需求</w:t>
            </w:r>
          </w:p>
        </w:tc>
      </w:tr>
      <w:tr>
        <w:tc>
          <w:tcPr>
            <w:tcW w:type="dxa" w:w="23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研究架構瀏覽</w:t>
            </w:r>
          </w:p>
        </w:tc>
        <w:tc>
          <w:tcPr>
            <w:tcW w:type="dxa" w:w="255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前台切換至研究架構</w:t>
            </w:r>
          </w:p>
        </w:tc>
        <w:tc>
          <w:tcPr>
            <w:tcW w:type="dxa" w:w="15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0</w:t>
            </w:r>
          </w:p>
        </w:tc>
        <w:tc>
          <w:tcPr>
            <w:tcW w:type="dxa" w:w="301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教師帶讀與分析閱讀需求</w:t>
            </w:r>
          </w:p>
        </w:tc>
      </w:tr>
      <w:tr>
        <w:tc>
          <w:tcPr>
            <w:tcW w:type="dxa" w:w="23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桃園成績瀏覽</w:t>
            </w:r>
          </w:p>
        </w:tc>
        <w:tc>
          <w:tcPr>
            <w:tcW w:type="dxa" w:w="255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前台切換至桃園十年表現</w:t>
            </w:r>
          </w:p>
        </w:tc>
        <w:tc>
          <w:tcPr>
            <w:tcW w:type="dxa" w:w="15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0</w:t>
            </w:r>
          </w:p>
        </w:tc>
        <w:tc>
          <w:tcPr>
            <w:tcW w:type="dxa" w:w="301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地方競賽表現閱讀需求</w:t>
            </w:r>
          </w:p>
        </w:tc>
      </w:tr>
      <w:tr>
        <w:tc>
          <w:tcPr>
            <w:tcW w:type="dxa" w:w="2300"/>
            <w:tcMar>
              <w:top w:w="80" w:type="dxa"/>
              <w:start w:w="120" w:type="dxa"/>
              <w:bottom w:w="80" w:type="dxa"/>
              <w:end w:w="120" w:type="dxa"/>
            </w:tcMar>
            <w:vAlign w:val="center"/>
          </w:tcPr>
          <w:p>
            <w:pPr>
              <w:jc w:val="left"/>
            </w:pPr>
            <w:r/>
            <w:r>
              <w:rPr>
                <w:rFonts w:ascii="DFKai-SB" w:hAnsi="DFKai-SB" w:eastAsia="DFKai-SB" w:cs="DFKai-SB"/>
                <w:b w:val="0"/>
                <w:i w:val="0"/>
                <w:color w:val="000000"/>
                <w:sz w:val="21"/>
              </w:rPr>
              <w:t>資料包下載</w:t>
            </w:r>
          </w:p>
        </w:tc>
        <w:tc>
          <w:tcPr>
            <w:tcW w:type="dxa" w:w="255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點選 APA7 Word 資料包</w:t>
            </w:r>
          </w:p>
        </w:tc>
        <w:tc>
          <w:tcPr>
            <w:tcW w:type="dxa" w:w="150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0</w:t>
            </w:r>
          </w:p>
        </w:tc>
        <w:tc>
          <w:tcPr>
            <w:tcW w:type="dxa" w:w="3010"/>
            <w:tcMar>
              <w:top w:w="80" w:type="dxa"/>
              <w:start w:w="120" w:type="dxa"/>
              <w:bottom w:w="80" w:type="dxa"/>
              <w:end w:w="120" w:type="dxa"/>
            </w:tcMar>
            <w:vAlign w:val="center"/>
          </w:tcPr>
          <w:p>
            <w:pPr>
              <w:jc w:val="center"/>
            </w:pPr>
            <w:r/>
            <w:r>
              <w:rPr>
                <w:rFonts w:ascii="DFKai-SB" w:hAnsi="DFKai-SB" w:eastAsia="DFKai-SB" w:cs="DFKai-SB"/>
                <w:b w:val="0"/>
                <w:i w:val="0"/>
                <w:color w:val="000000"/>
                <w:sz w:val="21"/>
              </w:rPr>
              <w:t>圖表資料再利用需求</w:t>
            </w:r>
          </w:p>
        </w:tc>
      </w:tr>
    </w:tbl>
    <w:p>
      <w:pPr>
        <w:spacing w:after="40" w:line="320" w:lineRule="auto"/>
        <w:jc w:val="left"/>
      </w:pPr>
      <w:r>
        <w:rPr>
          <w:rFonts w:ascii="DFKai-SB" w:hAnsi="DFKai-SB" w:eastAsia="DFKai-SB" w:cs="DFKai-SB"/>
          <w:b w:val="0"/>
          <w:i w:val="0"/>
          <w:color w:val="000000"/>
          <w:sz w:val="21"/>
        </w:rPr>
        <w:t>註. 快照數值為後台功能發布前的初始基準；功能上線後，後台會改為顯示累積值及近30日趨勢。</w:t>
      </w:r>
    </w:p>
    <w:p>
      <w:pPr>
        <w:spacing w:after="240" w:line="480" w:lineRule="auto"/>
        <w:jc w:val="both"/>
      </w:pPr>
      <w:r>
        <w:rPr>
          <w:rFonts w:ascii="DFKai-SB" w:hAnsi="DFKai-SB" w:eastAsia="DFKai-SB" w:cs="DFKai-SB"/>
          <w:b w:val="0"/>
          <w:i w:val="0"/>
          <w:color w:val="000000"/>
          <w:sz w:val="23"/>
        </w:rPr>
        <w:t>研究結果說明. 初始值設定為0是為了讓後續使用量可清楚追蹤。管理者可用「作品查詢」、「研究架構」與「資料包下載」的相對量，判斷教師較常使用的是選題檢索、案例帶讀或資料再利用。</w:t>
      </w:r>
    </w:p>
    <w:p>
      <w:pPr>
        <w:pStyle w:val="Heading1"/>
      </w:pPr>
      <w:r>
        <w:rPr>
          <w:rFonts w:ascii="DFKai-SB" w:hAnsi="DFKai-SB" w:eastAsia="DFKai-SB" w:cs="DFKai-SB"/>
          <w:b w:val="0"/>
          <w:i w:val="0"/>
          <w:color w:val="000000"/>
          <w:sz w:val="24"/>
        </w:rPr>
        <w:t>結論與使用建議</w:t>
      </w:r>
    </w:p>
    <w:p>
      <w:pPr/>
      <w:r>
        <w:rPr>
          <w:rFonts w:ascii="DFKai-SB" w:hAnsi="DFKai-SB" w:eastAsia="DFKai-SB" w:cs="DFKai-SB"/>
          <w:b w:val="0"/>
          <w:i w:val="0"/>
          <w:color w:val="000000"/>
          <w:sz w:val="24"/>
        </w:rPr>
        <w:t>本資料包的用途是讓網站圖表能被引用、下載與再檢查，而不只是停留在視覺呈現。若用於教師共備，建議先以 Figure 2 和 Table 3 選出該科常見現象，再進入網站研究架構頁閱讀相對應的案例；若用於地方培育策略，則以 Figure 3、Figure 4 與 Tables 4–5 同時檢視年度趨勢與學科廣度。新增的匿名使用統計可在不犧牲讀者隱私的前提下，協助調整後續內容編修優先序。</w:t>
      </w:r>
    </w:p>
    <w:p>
      <w:pPr>
        <w:pStyle w:val="Heading1"/>
      </w:pPr>
      <w:r>
        <w:rPr>
          <w:rFonts w:ascii="DFKai-SB" w:hAnsi="DFKai-SB" w:eastAsia="DFKai-SB" w:cs="DFKai-SB"/>
          <w:b w:val="0"/>
          <w:i w:val="0"/>
          <w:color w:val="000000"/>
          <w:sz w:val="24"/>
        </w:rPr>
        <w:t>參考文獻</w:t>
      </w:r>
    </w:p>
    <w:p>
      <w:pPr>
        <w:spacing w:after="80" w:line="480" w:lineRule="auto"/>
        <w:ind w:left="720" w:hanging="720"/>
        <w:jc w:val="left"/>
      </w:pPr>
      <w:r>
        <w:rPr>
          <w:rFonts w:ascii="DFKai-SB" w:hAnsi="DFKai-SB" w:eastAsia="DFKai-SB" w:cs="DFKai-SB"/>
          <w:b w:val="0"/>
          <w:i w:val="0"/>
          <w:color w:val="000000"/>
          <w:sz w:val="23"/>
        </w:rPr>
        <w:t>國立臺灣科學教育館。（n.d.）。全國中小學科學展覽會得獎作品資料庫。取自 https://twsf.ntsec.gov.tw/</w:t>
      </w:r>
    </w:p>
    <w:p>
      <w:pPr>
        <w:spacing w:after="80" w:line="480" w:lineRule="auto"/>
        <w:ind w:left="720" w:hanging="720"/>
        <w:jc w:val="left"/>
      </w:pPr>
      <w:r>
        <w:rPr>
          <w:rFonts w:ascii="DFKai-SB" w:hAnsi="DFKai-SB" w:eastAsia="DFKai-SB" w:cs="DFKai-SB"/>
          <w:b w:val="0"/>
          <w:i w:val="0"/>
          <w:color w:val="000000"/>
          <w:sz w:val="23"/>
        </w:rPr>
        <w:t>桃園市自然輔導團。（2026）。科展脈絡：第60至66屆全國國中科展自然科作品與桃園市國賽資料集［未出版之彙整資料］。</w:t>
      </w:r>
    </w:p>
    <w:p>
      <w:pPr>
        <w:spacing w:after="80" w:line="480" w:lineRule="auto"/>
        <w:ind w:left="720" w:hanging="720"/>
        <w:jc w:val="left"/>
      </w:pPr>
      <w:r>
        <w:rPr>
          <w:rFonts w:ascii="DFKai-SB" w:hAnsi="DFKai-SB" w:eastAsia="DFKai-SB" w:cs="DFKai-SB"/>
          <w:b w:val="0"/>
          <w:i w:val="0"/>
          <w:color w:val="000000"/>
          <w:sz w:val="23"/>
        </w:rPr>
        <w:t>American Psychological Association. (2020). Publication manual of the American Psychological Association (7th ed.). American Psychological Association.</w:t>
      </w:r>
    </w:p>
    <w:sectPr w:rsidR="00FC693F" w:rsidRPr="0006063C" w:rsidSect="00034616">
      <w:head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both"/>
    </w:pPr>
    <w:rPr>
      <w:rFonts w:ascii="DFKai-SB" w:hAnsi="DFKai-SB" w:eastAsia="DFKai-S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480" w:lineRule="auto"/>
      <w:jc w:val="left"/>
      <w:outlineLvl w:val="0"/>
    </w:pPr>
    <w:rPr>
      <w:rFonts w:asciiTheme="majorHAnsi" w:eastAsiaTheme="majorEastAsia" w:hAnsiTheme="majorHAnsi" w:cstheme="majorBidi" w:ascii="DFKai-SB" w:hAnsi="DFKai-SB" w:eastAsia="DFKai-SB"/>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DFKai-SB" w:hAnsi="DFKai-SB" w:eastAsia="DFKai-S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480" w:lineRule="auto"/>
      <w:jc w:val="left"/>
      <w:outlineLvl w:val="2"/>
    </w:pPr>
    <w:rPr>
      <w:rFonts w:asciiTheme="majorHAnsi" w:eastAsiaTheme="majorEastAsia" w:hAnsiTheme="majorHAnsi" w:cstheme="majorBidi" w:ascii="DFKai-SB" w:hAnsi="DFKai-SB" w:eastAsia="DFKai-SB"/>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FKai-SB" w:hAnsi="DFKai-SB" w:eastAsia="DFKai-S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FKai-SB" w:hAnsi="DFKai-SB" w:eastAsia="DFKai-S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全國國中科展圖表資料：APA 第7版分析報告</dc:title>
  <dc:subject>科展資料、研究現象與桃園市國賽成績</dc:subject>
  <dc:creator>桃園市自然輔導團</dc:creator>
  <cp:keywords/>
  <dc:description>generated by python-docx</dc:description>
  <cp:lastModifiedBy/>
  <cp:revision>1</cp:revision>
  <dcterms:created xsi:type="dcterms:W3CDTF">2013-12-23T23:15:00Z</dcterms:created>
  <dcterms:modified xsi:type="dcterms:W3CDTF">2013-12-23T23:15:00Z</dcterms:modified>
  <cp:category/>
</cp:coreProperties>
</file>