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76"/>
        <w:jc w:val="center"/>
      </w:pPr>
      <w:r>
        <w:rPr>
          <w:rFonts w:ascii="DFKai-SB" w:hAnsi="DFKai-SB" w:eastAsia="DFKai-SB"/>
          <w:b/>
          <w:color w:val="1D4E89"/>
          <w:sz w:val="44"/>
        </w:rPr>
        <w:t>全國會考生物試題</w:t>
        <w:br/>
        <w:t>圖表數據分析報告</w:t>
      </w:r>
    </w:p>
    <w:p>
      <w:pPr>
        <w:keepNext w:val="0"/>
        <w:spacing w:before="320" w:after="0" w:line="240" w:lineRule="auto"/>
        <w:jc w:val="center"/>
      </w:pPr>
      <w:r>
        <w:rPr>
          <w:rFonts w:ascii="DFKai-SB" w:hAnsi="DFKai-SB" w:eastAsia="DFKai-SB"/>
          <w:b/>
          <w:color w:val="19856B"/>
          <w:sz w:val="26"/>
        </w:rPr>
        <w:t>112–115 年自然科生物試題｜APA 第 7 版呈現</w:t>
      </w:r>
    </w:p>
    <w:p>
      <w:pPr>
        <w:keepNext w:val="0"/>
        <w:spacing w:before="320" w:after="480" w:line="240" w:lineRule="auto"/>
        <w:jc w:val="center"/>
      </w:pPr>
      <w:r>
        <w:rPr>
          <w:rFonts w:ascii="DFKai-SB" w:hAnsi="DFKai-SB" w:eastAsia="DFKai-SB"/>
          <w:color w:val="A8B9C9"/>
          <w:sz w:val="20"/>
        </w:rPr>
        <w:t>━━━━━━━━━━━━━━━━━━━━━━━━━━━━</w:t>
      </w:r>
    </w:p>
    <w:p>
      <w:pPr>
        <w:keepNext w:val="0"/>
        <w:spacing w:before="0" w:after="160" w:line="240" w:lineRule="auto"/>
        <w:jc w:val="center"/>
      </w:pPr>
      <w:r>
        <w:rPr>
          <w:rFonts w:ascii="DFKai-SB" w:hAnsi="DFKai-SB" w:eastAsia="DFKai-SB"/>
          <w:sz w:val="24"/>
        </w:rPr>
        <w:t>教學資料整理</w:t>
      </w:r>
    </w:p>
    <w:p>
      <w:pPr>
        <w:keepNext w:val="0"/>
        <w:spacing w:before="0" w:after="160" w:line="240" w:lineRule="auto"/>
        <w:jc w:val="center"/>
      </w:pPr>
      <w:r>
        <w:rPr>
          <w:rFonts w:ascii="DFKai-SB" w:hAnsi="DFKai-SB" w:eastAsia="DFKai-SB"/>
          <w:sz w:val="24"/>
        </w:rPr>
        <w:t>全國國中教育會考生物試題分析網</w:t>
      </w:r>
    </w:p>
    <w:p>
      <w:pPr>
        <w:keepNext w:val="0"/>
        <w:spacing w:before="0" w:after="160" w:line="240" w:lineRule="auto"/>
        <w:jc w:val="center"/>
      </w:pPr>
      <w:r>
        <w:rPr>
          <w:rFonts w:ascii="DFKai-SB" w:hAnsi="DFKai-SB" w:eastAsia="DFKai-SB"/>
          <w:sz w:val="24"/>
        </w:rPr>
        <w:t>2026 年 8 月 27 日</w:t>
      </w:r>
    </w:p>
    <w:p>
      <w:pPr>
        <w:keepNext w:val="0"/>
        <w:spacing w:before="0" w:after="0" w:line="240" w:lineRule="auto"/>
        <w:jc w:val="center"/>
      </w:pPr>
      <w:r>
        <w:rPr>
          <w:rFonts w:ascii="DFKai-SB" w:hAnsi="DFKai-SB" w:eastAsia="DFKai-SB"/>
          <w:color w:val="5F6F7F"/>
          <w:sz w:val="20"/>
        </w:rPr>
        <w:t>資料用途：師生選題、複習排序與教學研究參考</w:t>
      </w:r>
    </w:p>
    <w:p>
      <w:r>
        <w:rPr>
          <w:rFonts w:ascii="DFKai-SB" w:hAnsi="DFKai-SB" w:eastAsia="DFKai-SB"/>
        </w:rPr>
        <w:br w:type="page"/>
      </w:r>
    </w:p>
    <w:p>
      <w:pPr>
        <w:pStyle w:val="Heading1"/>
        <w:keepNext/>
        <w:spacing w:before="200" w:after="80" w:line="240" w:lineRule="auto"/>
        <w:jc w:val="center"/>
      </w:pPr>
      <w:r>
        <w:rPr>
          <w:rFonts w:ascii="DFKai-SB" w:hAnsi="DFKai-SB" w:eastAsia="DFKai-SB"/>
          <w:b/>
          <w:sz w:val="28"/>
        </w:rPr>
        <w:t>摘要</w:t>
      </w:r>
    </w:p>
    <w:p>
      <w:pPr>
        <w:keepNext w:val="0"/>
        <w:spacing w:before="0" w:after="0" w:line="480" w:lineRule="auto"/>
        <w:ind w:firstLine="720"/>
        <w:jc w:val="both"/>
      </w:pPr>
      <w:r>
        <w:rPr>
          <w:rFonts w:ascii="DFKai-SB" w:hAnsi="DFKai-SB" w:eastAsia="DFKai-SB"/>
          <w:sz w:val="24"/>
        </w:rPr>
        <w:t>本報告分析112至115年國中教育會考自然科中45道生物試題，整合題目章節、知識主題、評量能力、教學難度、全國通過率與答錯率。112至114年共32題具有公開的全國逐題統計；115年13題目前未取得公開逐題通過率，故不以推測值替代。答錯率定義為1減去全國通過率，並以低於25%、25%至45%、高於45%分別標示低、中、高統計難度。具有統計資料的題目中，高統計難度共8題，可作為教學優先精讀題。</w:t>
      </w:r>
    </w:p>
    <w:p>
      <w:pPr>
        <w:keepNext w:val="0"/>
        <w:spacing w:before="200" w:after="0" w:line="480" w:lineRule="auto"/>
        <w:jc w:val="both"/>
      </w:pPr>
      <w:r>
        <w:rPr>
          <w:rFonts w:ascii="DFKai-SB" w:hAnsi="DFKai-SB" w:eastAsia="DFKai-SB"/>
          <w:b/>
          <w:i/>
          <w:sz w:val="24"/>
        </w:rPr>
        <w:t>關鍵詞：</w:t>
      </w:r>
      <w:r>
        <w:rPr>
          <w:rFonts w:ascii="DFKai-SB" w:hAnsi="DFKai-SB" w:eastAsia="DFKai-SB"/>
          <w:sz w:val="24"/>
        </w:rPr>
        <w:t>國中教育會考、生物、試題分析、通過率、答錯率、APA 7</w:t>
      </w:r>
    </w:p>
    <w:p>
      <w:pPr>
        <w:pStyle w:val="Heading1"/>
        <w:keepNext/>
        <w:spacing w:before="200" w:after="80" w:line="240" w:lineRule="auto"/>
        <w:jc w:val="center"/>
      </w:pPr>
      <w:r>
        <w:rPr>
          <w:rFonts w:ascii="DFKai-SB" w:hAnsi="DFKai-SB" w:eastAsia="DFKai-SB"/>
          <w:b/>
          <w:sz w:val="28"/>
        </w:rPr>
        <w:t>資料來源與分析方法</w:t>
      </w:r>
    </w:p>
    <w:p>
      <w:pPr>
        <w:keepNext w:val="0"/>
        <w:spacing w:before="0" w:after="0" w:line="480" w:lineRule="auto"/>
        <w:ind w:firstLine="720"/>
        <w:jc w:val="both"/>
      </w:pPr>
      <w:r>
        <w:rPr>
          <w:rFonts w:ascii="DFKai-SB" w:hAnsi="DFKai-SB" w:eastAsia="DFKai-SB"/>
          <w:sz w:val="24"/>
        </w:rPr>
        <w:t>題目年度、題號、題幹、選項及答案依國中教育會考公開歷屆試題整理；章節、主題、能力、教學難度、解題關鍵與常見誤區為教學用途重新編寫。逐題統計資料取自公開的全國自然科試題分析檔，通過率代表全國有效作答考生答對該題的比例。</w:t>
      </w:r>
    </w:p>
    <w:p>
      <w:pPr>
        <w:keepNext w:val="0"/>
        <w:spacing w:before="0" w:after="0" w:line="480" w:lineRule="auto"/>
        <w:ind w:firstLine="720"/>
        <w:jc w:val="both"/>
      </w:pPr>
      <w:r>
        <w:rPr>
          <w:rFonts w:ascii="DFKai-SB" w:hAnsi="DFKai-SB" w:eastAsia="DFKai-SB"/>
          <w:sz w:val="24"/>
        </w:rPr>
        <w:t>統計難度採答錯率分級：答錯率低於25%為低，25%至45%為中，超過45%為高。這一分級是本站用於複習排序的操作性定義，不等同會考官方難度標籤；平均值只涵蓋本站選取的生物題，不能推論整份自然科試卷的總體難度。</w:t>
      </w:r>
    </w:p>
    <w:p>
      <w:pPr>
        <w:pStyle w:val="Heading1"/>
        <w:keepNext/>
        <w:spacing w:before="200" w:after="80" w:line="240" w:lineRule="auto"/>
        <w:jc w:val="center"/>
      </w:pPr>
      <w:r>
        <w:rPr>
          <w:rFonts w:ascii="DFKai-SB" w:hAnsi="DFKai-SB" w:eastAsia="DFKai-SB"/>
          <w:b/>
          <w:sz w:val="28"/>
        </w:rPr>
        <w:t>結果</w:t>
      </w:r>
    </w:p>
    <w:p>
      <w:pPr>
        <w:pStyle w:val="CaptionAPA"/>
        <w:keepNext/>
        <w:spacing w:before="160" w:after="0" w:line="240" w:lineRule="auto"/>
        <w:jc w:val="left"/>
      </w:pPr>
      <w:r>
        <w:rPr>
          <w:rFonts w:ascii="DFKai-SB" w:hAnsi="DFKai-SB" w:eastAsia="DFKai-SB"/>
          <w:b/>
          <w:sz w:val="22"/>
        </w:rPr>
        <w:t>表 1</w:t>
      </w:r>
    </w:p>
    <w:p>
      <w:pPr>
        <w:pStyle w:val="CaptionAPA"/>
        <w:keepNext/>
        <w:spacing w:before="0" w:after="0" w:line="240" w:lineRule="auto"/>
        <w:jc w:val="left"/>
      </w:pPr>
      <w:r>
        <w:rPr>
          <w:rFonts w:ascii="DFKai-SB" w:hAnsi="DFKai-SB" w:eastAsia="DFKai-SB"/>
          <w:i/>
          <w:sz w:val="22"/>
        </w:rPr>
        <w:t>各年度收錄題數與平均答錯率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100"/>
            <w:shd w:fill="1D4E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b/>
                <w:color w:val="FFFFFF"/>
                <w:sz w:val="19"/>
              </w:rPr>
              <w:t>年度</w:t>
            </w:r>
          </w:p>
        </w:tc>
        <w:tc>
          <w:tcPr>
            <w:tcW w:type="dxa" w:w="1500"/>
            <w:shd w:fill="1D4E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b/>
                <w:color w:val="FFFFFF"/>
                <w:sz w:val="19"/>
              </w:rPr>
              <w:t>收錄題數</w:t>
            </w:r>
          </w:p>
        </w:tc>
        <w:tc>
          <w:tcPr>
            <w:tcW w:type="dxa" w:w="1700"/>
            <w:shd w:fill="1D4E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b/>
                <w:color w:val="FFFFFF"/>
                <w:sz w:val="19"/>
              </w:rPr>
              <w:t>具統計題數</w:t>
            </w:r>
          </w:p>
        </w:tc>
        <w:tc>
          <w:tcPr>
            <w:tcW w:type="dxa" w:w="1800"/>
            <w:shd w:fill="1D4E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b/>
                <w:color w:val="FFFFFF"/>
                <w:sz w:val="19"/>
              </w:rPr>
              <w:t>平均答錯率</w:t>
            </w:r>
          </w:p>
        </w:tc>
        <w:tc>
          <w:tcPr>
            <w:tcW w:type="dxa" w:w="3260"/>
            <w:shd w:fill="1D4E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b/>
                <w:color w:val="FFFFFF"/>
                <w:sz w:val="19"/>
              </w:rPr>
              <w:t>資料狀態</w:t>
            </w:r>
          </w:p>
        </w:tc>
      </w:tr>
      <w:tr>
        <w:trPr>
          <w:trHeight w:hRule="atLeast"/>
        </w:trPr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9"/>
              </w:rPr>
              <w:t>112</w:t>
            </w:r>
          </w:p>
        </w:tc>
        <w:tc>
          <w:tcPr>
            <w:tcW w:type="dxa" w:w="15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9"/>
              </w:rPr>
              <w:t>9</w:t>
            </w:r>
          </w:p>
        </w:tc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9"/>
              </w:rPr>
              <w:t>9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9"/>
              </w:rPr>
              <w:t>36.4%</w:t>
            </w:r>
          </w:p>
        </w:tc>
        <w:tc>
          <w:tcPr>
            <w:tcW w:type="dxa" w:w="32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9"/>
              </w:rPr>
              <w:t>公開全國統計</w:t>
            </w:r>
          </w:p>
        </w:tc>
      </w:tr>
      <w:tr>
        <w:trPr>
          <w:trHeight w:hRule="atLeast"/>
        </w:trPr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9"/>
              </w:rPr>
              <w:t>113</w:t>
            </w:r>
          </w:p>
        </w:tc>
        <w:tc>
          <w:tcPr>
            <w:tcW w:type="dxa" w:w="15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9"/>
              </w:rPr>
              <w:t>9</w:t>
            </w:r>
          </w:p>
        </w:tc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9"/>
              </w:rPr>
              <w:t>9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9"/>
              </w:rPr>
              <w:t>32.4%</w:t>
            </w:r>
          </w:p>
        </w:tc>
        <w:tc>
          <w:tcPr>
            <w:tcW w:type="dxa" w:w="32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9"/>
              </w:rPr>
              <w:t>公開全國統計</w:t>
            </w:r>
          </w:p>
        </w:tc>
      </w:tr>
      <w:tr>
        <w:trPr>
          <w:trHeight w:hRule="atLeast"/>
        </w:trPr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9"/>
              </w:rPr>
              <w:t>114</w:t>
            </w:r>
          </w:p>
        </w:tc>
        <w:tc>
          <w:tcPr>
            <w:tcW w:type="dxa" w:w="15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9"/>
              </w:rPr>
              <w:t>14</w:t>
            </w:r>
          </w:p>
        </w:tc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9"/>
              </w:rPr>
              <w:t>14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9"/>
              </w:rPr>
              <w:t>40.5%</w:t>
            </w:r>
          </w:p>
        </w:tc>
        <w:tc>
          <w:tcPr>
            <w:tcW w:type="dxa" w:w="32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9"/>
              </w:rPr>
              <w:t>公開全國統計</w:t>
            </w:r>
          </w:p>
        </w:tc>
      </w:tr>
      <w:tr>
        <w:trPr>
          <w:trHeight w:hRule="atLeast"/>
        </w:trPr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9"/>
              </w:rPr>
              <w:t>115</w:t>
            </w:r>
          </w:p>
        </w:tc>
        <w:tc>
          <w:tcPr>
            <w:tcW w:type="dxa" w:w="15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9"/>
              </w:rPr>
              <w:t>13</w:t>
            </w:r>
          </w:p>
        </w:tc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9"/>
              </w:rPr>
              <w:t>0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9"/>
              </w:rPr>
              <w:t>—</w:t>
            </w:r>
          </w:p>
        </w:tc>
        <w:tc>
          <w:tcPr>
            <w:tcW w:type="dxa" w:w="32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9"/>
              </w:rPr>
              <w:t>待公開</w:t>
            </w:r>
          </w:p>
        </w:tc>
      </w:tr>
    </w:tbl>
    <w:p>
      <w:pPr>
        <w:keepNext w:val="0"/>
        <w:spacing w:before="100" w:after="140" w:line="240" w:lineRule="auto"/>
        <w:ind w:left="288"/>
        <w:jc w:val="both"/>
      </w:pPr>
      <w:r>
        <w:rPr>
          <w:rFonts w:ascii="DFKai-SB" w:hAnsi="DFKai-SB" w:eastAsia="DFKai-SB"/>
          <w:b/>
          <w:color w:val="1D4E89"/>
          <w:sz w:val="22"/>
        </w:rPr>
        <w:t>研究結果說明：</w:t>
      </w:r>
      <w:r>
        <w:rPr>
          <w:rFonts w:ascii="DFKai-SB" w:hAnsi="DFKai-SB" w:eastAsia="DFKai-SB"/>
          <w:sz w:val="22"/>
        </w:rPr>
        <w:t>112、113、114年收錄題的平均答錯率依序為36.4%、32.4%與40.5%。115年逐題統計尚未公開，因此只呈現收錄題數，不計算平均值。</w:t>
      </w:r>
    </w:p>
    <w:p>
      <w:pPr>
        <w:pStyle w:val="CaptionAPA"/>
        <w:keepNext/>
        <w:spacing w:before="200" w:after="0" w:line="240" w:lineRule="auto"/>
        <w:jc w:val="left"/>
      </w:pPr>
      <w:r>
        <w:rPr>
          <w:rFonts w:ascii="DFKai-SB" w:hAnsi="DFKai-SB" w:eastAsia="DFKai-SB"/>
          <w:b/>
          <w:sz w:val="22"/>
        </w:rPr>
        <w:t>圖 1</w:t>
      </w:r>
    </w:p>
    <w:p>
      <w:pPr>
        <w:pStyle w:val="CaptionAPA"/>
        <w:keepNext/>
        <w:spacing w:before="0" w:after="0" w:line="240" w:lineRule="auto"/>
        <w:jc w:val="left"/>
      </w:pPr>
      <w:r>
        <w:rPr>
          <w:rFonts w:ascii="DFKai-SB" w:hAnsi="DFKai-SB" w:eastAsia="DFKai-SB"/>
          <w:i/>
          <w:sz w:val="22"/>
        </w:rPr>
        <w:t>112–114 年收錄生物題平均答錯率</w:t>
      </w:r>
    </w:p>
    <w:p>
      <w:pPr>
        <w:keepNext w:val="0"/>
        <w:spacing w:before="0" w:after="0" w:line="240" w:lineRule="auto"/>
        <w:jc w:val="center"/>
      </w:pPr>
      <w:r>
        <w:rPr>
          <w:rFonts w:ascii="DFKai-SB" w:hAnsi="DFKai-SB" w:eastAsia="DFKai-SB"/>
        </w:rPr>
        <w:drawing>
          <wp:inline xmlns:a="http://schemas.openxmlformats.org/drawingml/2006/main" xmlns:pic="http://schemas.openxmlformats.org/drawingml/2006/picture">
            <wp:extent cx="5715000" cy="2928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year_error_r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28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APA"/>
        <w:keepNext w:val="0"/>
        <w:spacing w:before="0" w:after="0" w:line="240" w:lineRule="auto"/>
        <w:jc w:val="left"/>
      </w:pPr>
      <w:r>
        <w:rPr>
          <w:rFonts w:ascii="DFKai-SB" w:hAnsi="DFKai-SB" w:eastAsia="DFKai-SB"/>
          <w:i/>
          <w:sz w:val="20"/>
        </w:rPr>
        <w:t>註。</w:t>
      </w:r>
      <w:r>
        <w:rPr>
          <w:rFonts w:ascii="DFKai-SB" w:hAnsi="DFKai-SB" w:eastAsia="DFKai-SB"/>
          <w:sz w:val="20"/>
        </w:rPr>
        <w:t>平均答錯率以各年度本站收錄且具有全國逐題通過率的生物題計算；115年因缺值未繪入。</w:t>
      </w:r>
    </w:p>
    <w:p>
      <w:pPr>
        <w:keepNext w:val="0"/>
        <w:spacing w:before="100" w:after="140" w:line="240" w:lineRule="auto"/>
        <w:ind w:left="288"/>
        <w:jc w:val="both"/>
      </w:pPr>
      <w:r>
        <w:rPr>
          <w:rFonts w:ascii="DFKai-SB" w:hAnsi="DFKai-SB" w:eastAsia="DFKai-SB"/>
          <w:b/>
          <w:color w:val="1D4E89"/>
          <w:sz w:val="22"/>
        </w:rPr>
        <w:t>研究結果說明：</w:t>
      </w:r>
      <w:r>
        <w:rPr>
          <w:rFonts w:ascii="DFKai-SB" w:hAnsi="DFKai-SB" w:eastAsia="DFKai-SB"/>
          <w:sz w:val="22"/>
        </w:rPr>
        <w:t>年度平均值提供整體複習負荷的概略比較，但各年度選題數與題型不同，解讀時應同時查看逐題結果。</w:t>
      </w:r>
    </w:p>
    <w:p>
      <w:pPr>
        <w:pStyle w:val="CaptionAPA"/>
        <w:keepNext/>
        <w:spacing w:before="160" w:after="0" w:line="240" w:lineRule="auto"/>
        <w:jc w:val="left"/>
      </w:pPr>
      <w:r>
        <w:rPr>
          <w:rFonts w:ascii="DFKai-SB" w:hAnsi="DFKai-SB" w:eastAsia="DFKai-SB"/>
          <w:b/>
          <w:sz w:val="22"/>
        </w:rPr>
        <w:t>表 2</w:t>
      </w:r>
    </w:p>
    <w:p>
      <w:pPr>
        <w:pStyle w:val="CaptionAPA"/>
        <w:keepNext/>
        <w:spacing w:before="0" w:after="0" w:line="240" w:lineRule="auto"/>
        <w:jc w:val="left"/>
      </w:pPr>
      <w:r>
        <w:rPr>
          <w:rFonts w:ascii="DFKai-SB" w:hAnsi="DFKai-SB" w:eastAsia="DFKai-SB"/>
          <w:i/>
          <w:sz w:val="22"/>
        </w:rPr>
        <w:t>全國答錯率最高的 10 道收錄題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760"/>
            <w:shd w:fill="1D4E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b/>
                <w:color w:val="FFFFFF"/>
                <w:sz w:val="17"/>
              </w:rPr>
              <w:t>排序</w:t>
            </w:r>
          </w:p>
        </w:tc>
        <w:tc>
          <w:tcPr>
            <w:tcW w:type="dxa" w:w="1300"/>
            <w:shd w:fill="1D4E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b/>
                <w:color w:val="FFFFFF"/>
                <w:sz w:val="17"/>
              </w:rPr>
              <w:t>年度－題號</w:t>
            </w:r>
          </w:p>
        </w:tc>
        <w:tc>
          <w:tcPr>
            <w:tcW w:type="dxa" w:w="3600"/>
            <w:shd w:fill="1D4E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b/>
                <w:color w:val="FFFFFF"/>
                <w:sz w:val="17"/>
              </w:rPr>
              <w:t>章節／主題</w:t>
            </w:r>
          </w:p>
        </w:tc>
        <w:tc>
          <w:tcPr>
            <w:tcW w:type="dxa" w:w="1200"/>
            <w:shd w:fill="1D4E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b/>
                <w:color w:val="FFFFFF"/>
                <w:sz w:val="17"/>
              </w:rPr>
              <w:t>通過率</w:t>
            </w:r>
          </w:p>
        </w:tc>
        <w:tc>
          <w:tcPr>
            <w:tcW w:type="dxa" w:w="1200"/>
            <w:shd w:fill="1D4E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b/>
                <w:color w:val="FFFFFF"/>
                <w:sz w:val="17"/>
              </w:rPr>
              <w:t>答錯率</w:t>
            </w:r>
          </w:p>
        </w:tc>
        <w:tc>
          <w:tcPr>
            <w:tcW w:type="dxa" w:w="1300"/>
            <w:shd w:fill="1D4E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b/>
                <w:color w:val="FFFFFF"/>
                <w:sz w:val="17"/>
              </w:rPr>
              <w:t>統計難度</w:t>
            </w:r>
          </w:p>
        </w:tc>
      </w:tr>
      <w:tr>
        <w:trPr>
          <w:trHeight w:hRule="atLeast"/>
        </w:trPr>
        <w:tc>
          <w:tcPr>
            <w:tcW w:type="dxa" w:w="7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1</w:t>
            </w:r>
          </w:p>
        </w:tc>
        <w:tc>
          <w:tcPr>
            <w:tcW w:type="dxa" w:w="13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7"/>
              </w:rPr>
              <w:t>114－35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7"/>
              </w:rPr>
              <w:t>生殖／細胞分裂與生長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33.0%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67.0%</w:t>
            </w:r>
          </w:p>
        </w:tc>
        <w:tc>
          <w:tcPr>
            <w:tcW w:type="dxa" w:w="13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高</w:t>
            </w:r>
          </w:p>
        </w:tc>
      </w:tr>
      <w:tr>
        <w:trPr>
          <w:trHeight w:hRule="atLeast"/>
        </w:trPr>
        <w:tc>
          <w:tcPr>
            <w:tcW w:type="dxa" w:w="7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2</w:t>
            </w:r>
          </w:p>
        </w:tc>
        <w:tc>
          <w:tcPr>
            <w:tcW w:type="dxa" w:w="13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7"/>
              </w:rPr>
              <w:t>113－41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7"/>
              </w:rPr>
              <w:t>營養／酵素與溫度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38.2%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61.8%</w:t>
            </w:r>
          </w:p>
        </w:tc>
        <w:tc>
          <w:tcPr>
            <w:tcW w:type="dxa" w:w="13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高</w:t>
            </w:r>
          </w:p>
        </w:tc>
      </w:tr>
      <w:tr>
        <w:trPr>
          <w:trHeight w:hRule="atLeast"/>
        </w:trPr>
        <w:tc>
          <w:tcPr>
            <w:tcW w:type="dxa" w:w="7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3</w:t>
            </w:r>
          </w:p>
        </w:tc>
        <w:tc>
          <w:tcPr>
            <w:tcW w:type="dxa" w:w="13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7"/>
              </w:rPr>
              <w:t>114－36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7"/>
              </w:rPr>
              <w:t>營養／澱粉酵素檢測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42.0%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58.0%</w:t>
            </w:r>
          </w:p>
        </w:tc>
        <w:tc>
          <w:tcPr>
            <w:tcW w:type="dxa" w:w="13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高</w:t>
            </w:r>
          </w:p>
        </w:tc>
      </w:tr>
      <w:tr>
        <w:trPr>
          <w:trHeight w:hRule="atLeast"/>
        </w:trPr>
        <w:tc>
          <w:tcPr>
            <w:tcW w:type="dxa" w:w="7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4</w:t>
            </w:r>
          </w:p>
        </w:tc>
        <w:tc>
          <w:tcPr>
            <w:tcW w:type="dxa" w:w="13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7"/>
              </w:rPr>
              <w:t>114－44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7"/>
              </w:rPr>
              <w:t>科學探究／酸性環境與變色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42.0%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58.0%</w:t>
            </w:r>
          </w:p>
        </w:tc>
        <w:tc>
          <w:tcPr>
            <w:tcW w:type="dxa" w:w="13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高</w:t>
            </w:r>
          </w:p>
        </w:tc>
      </w:tr>
      <w:tr>
        <w:trPr>
          <w:trHeight w:hRule="atLeast"/>
        </w:trPr>
        <w:tc>
          <w:tcPr>
            <w:tcW w:type="dxa" w:w="7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5</w:t>
            </w:r>
          </w:p>
        </w:tc>
        <w:tc>
          <w:tcPr>
            <w:tcW w:type="dxa" w:w="13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7"/>
              </w:rPr>
              <w:t>112－39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7"/>
              </w:rPr>
              <w:t>遺傳／突變與遺傳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46.9%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53.1%</w:t>
            </w:r>
          </w:p>
        </w:tc>
        <w:tc>
          <w:tcPr>
            <w:tcW w:type="dxa" w:w="13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高</w:t>
            </w:r>
          </w:p>
        </w:tc>
      </w:tr>
      <w:tr>
        <w:trPr>
          <w:trHeight w:hRule="atLeast"/>
        </w:trPr>
        <w:tc>
          <w:tcPr>
            <w:tcW w:type="dxa" w:w="7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6</w:t>
            </w:r>
          </w:p>
        </w:tc>
        <w:tc>
          <w:tcPr>
            <w:tcW w:type="dxa" w:w="13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7"/>
              </w:rPr>
              <w:t>113－33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7"/>
              </w:rPr>
              <w:t>恆定性／泌尿系統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49.7%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50.3%</w:t>
            </w:r>
          </w:p>
        </w:tc>
        <w:tc>
          <w:tcPr>
            <w:tcW w:type="dxa" w:w="13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高</w:t>
            </w:r>
          </w:p>
        </w:tc>
      </w:tr>
      <w:tr>
        <w:trPr>
          <w:trHeight w:hRule="atLeast"/>
        </w:trPr>
        <w:tc>
          <w:tcPr>
            <w:tcW w:type="dxa" w:w="7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7</w:t>
            </w:r>
          </w:p>
        </w:tc>
        <w:tc>
          <w:tcPr>
            <w:tcW w:type="dxa" w:w="13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7"/>
              </w:rPr>
              <w:t>112－31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7"/>
              </w:rPr>
              <w:t>循環／顯微鏡與血流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50.2%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49.8%</w:t>
            </w:r>
          </w:p>
        </w:tc>
        <w:tc>
          <w:tcPr>
            <w:tcW w:type="dxa" w:w="13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高</w:t>
            </w:r>
          </w:p>
        </w:tc>
      </w:tr>
      <w:tr>
        <w:trPr>
          <w:trHeight w:hRule="atLeast"/>
        </w:trPr>
        <w:tc>
          <w:tcPr>
            <w:tcW w:type="dxa" w:w="7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8</w:t>
            </w:r>
          </w:p>
        </w:tc>
        <w:tc>
          <w:tcPr>
            <w:tcW w:type="dxa" w:w="13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7"/>
              </w:rPr>
              <w:t>114－34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7"/>
              </w:rPr>
              <w:t>分類／生物界特徵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53.0%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47.0%</w:t>
            </w:r>
          </w:p>
        </w:tc>
        <w:tc>
          <w:tcPr>
            <w:tcW w:type="dxa" w:w="13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高</w:t>
            </w:r>
          </w:p>
        </w:tc>
      </w:tr>
      <w:tr>
        <w:trPr>
          <w:trHeight w:hRule="atLeast"/>
        </w:trPr>
        <w:tc>
          <w:tcPr>
            <w:tcW w:type="dxa" w:w="7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9</w:t>
            </w:r>
          </w:p>
        </w:tc>
        <w:tc>
          <w:tcPr>
            <w:tcW w:type="dxa" w:w="13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7"/>
              </w:rPr>
              <w:t>114－20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7"/>
              </w:rPr>
              <w:t>協調作用／餐後血糖曲線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55.0%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45.0%</w:t>
            </w:r>
          </w:p>
        </w:tc>
        <w:tc>
          <w:tcPr>
            <w:tcW w:type="dxa" w:w="13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7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10</w:t>
            </w:r>
          </w:p>
        </w:tc>
        <w:tc>
          <w:tcPr>
            <w:tcW w:type="dxa" w:w="13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7"/>
              </w:rPr>
              <w:t>112－14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7"/>
              </w:rPr>
              <w:t>生態／生物累積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55.6%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44.4%</w:t>
            </w:r>
          </w:p>
        </w:tc>
        <w:tc>
          <w:tcPr>
            <w:tcW w:type="dxa" w:w="13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7"/>
              </w:rPr>
              <w:t>中</w:t>
            </w:r>
          </w:p>
        </w:tc>
      </w:tr>
    </w:tbl>
    <w:p>
      <w:pPr>
        <w:keepNext w:val="0"/>
        <w:spacing w:before="100" w:after="140" w:line="240" w:lineRule="auto"/>
        <w:ind w:left="288"/>
        <w:jc w:val="both"/>
      </w:pPr>
      <w:r>
        <w:rPr>
          <w:rFonts w:ascii="DFKai-SB" w:hAnsi="DFKai-SB" w:eastAsia="DFKai-SB"/>
          <w:b/>
          <w:color w:val="1D4E89"/>
          <w:sz w:val="22"/>
        </w:rPr>
        <w:t>研究結果說明：</w:t>
      </w:r>
      <w:r>
        <w:rPr>
          <w:rFonts w:ascii="DFKai-SB" w:hAnsi="DFKai-SB" w:eastAsia="DFKai-SB"/>
          <w:sz w:val="22"/>
        </w:rPr>
        <w:t>答錯率最高者為114年第35題「細胞分裂與生長」，答錯率為67.0%。前10題多涉及推論、資料判讀或跨概念整合，適合安排講解後再測。</w:t>
      </w:r>
    </w:p>
    <w:p>
      <w:pPr>
        <w:pStyle w:val="CaptionAPA"/>
        <w:keepNext/>
        <w:spacing w:before="200" w:after="0" w:line="240" w:lineRule="auto"/>
        <w:jc w:val="left"/>
      </w:pPr>
      <w:r>
        <w:rPr>
          <w:rFonts w:ascii="DFKai-SB" w:hAnsi="DFKai-SB" w:eastAsia="DFKai-SB"/>
          <w:b/>
          <w:sz w:val="22"/>
        </w:rPr>
        <w:t>圖 2</w:t>
      </w:r>
    </w:p>
    <w:p>
      <w:pPr>
        <w:pStyle w:val="CaptionAPA"/>
        <w:keepNext/>
        <w:spacing w:before="0" w:after="0" w:line="240" w:lineRule="auto"/>
        <w:jc w:val="left"/>
      </w:pPr>
      <w:r>
        <w:rPr>
          <w:rFonts w:ascii="DFKai-SB" w:hAnsi="DFKai-SB" w:eastAsia="DFKai-SB"/>
          <w:i/>
          <w:sz w:val="22"/>
        </w:rPr>
        <w:t>全國答錯率最高的 10 道收錄題</w:t>
      </w:r>
    </w:p>
    <w:p>
      <w:pPr>
        <w:keepNext w:val="0"/>
        <w:spacing w:before="0" w:after="0" w:line="240" w:lineRule="auto"/>
        <w:jc w:val="center"/>
      </w:pPr>
      <w:r>
        <w:rPr>
          <w:rFonts w:ascii="DFKai-SB" w:hAnsi="DFKai-SB" w:eastAsia="DFKai-SB"/>
        </w:rPr>
        <w:drawing>
          <wp:inline xmlns:a="http://schemas.openxmlformats.org/drawingml/2006/main" xmlns:pic="http://schemas.openxmlformats.org/drawingml/2006/picture">
            <wp:extent cx="5715000" cy="37861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top_error_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86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APA"/>
        <w:keepNext w:val="0"/>
        <w:spacing w:before="0" w:after="0" w:line="240" w:lineRule="auto"/>
        <w:jc w:val="left"/>
      </w:pPr>
      <w:r>
        <w:rPr>
          <w:rFonts w:ascii="DFKai-SB" w:hAnsi="DFKai-SB" w:eastAsia="DFKai-SB"/>
          <w:i/>
          <w:sz w:val="20"/>
        </w:rPr>
        <w:t>註。</w:t>
      </w:r>
      <w:r>
        <w:rPr>
          <w:rFonts w:ascii="DFKai-SB" w:hAnsi="DFKai-SB" w:eastAsia="DFKai-SB"/>
          <w:sz w:val="20"/>
        </w:rPr>
        <w:t>橫條長度為1減去全國通過率；橘色表示本站定義的高統計難度。</w:t>
      </w:r>
    </w:p>
    <w:p>
      <w:pPr>
        <w:keepNext w:val="0"/>
        <w:spacing w:before="100" w:after="140" w:line="240" w:lineRule="auto"/>
        <w:ind w:left="288"/>
        <w:jc w:val="both"/>
      </w:pPr>
      <w:r>
        <w:rPr>
          <w:rFonts w:ascii="DFKai-SB" w:hAnsi="DFKai-SB" w:eastAsia="DFKai-SB"/>
          <w:b/>
          <w:color w:val="1D4E89"/>
          <w:sz w:val="22"/>
        </w:rPr>
        <w:t>研究結果說明：</w:t>
      </w:r>
      <w:r>
        <w:rPr>
          <w:rFonts w:ascii="DFKai-SB" w:hAnsi="DFKai-SB" w:eastAsia="DFKai-SB"/>
          <w:sz w:val="22"/>
        </w:rPr>
        <w:t>排序結果讓師生快速辨認優先複習題，但答錯率不等於單一學生的能力診斷，仍需搭配個人作答紀錄。</w:t>
      </w:r>
    </w:p>
    <w:p>
      <w:pPr>
        <w:pStyle w:val="CaptionAPA"/>
        <w:keepNext/>
        <w:spacing w:before="160" w:after="0" w:line="240" w:lineRule="auto"/>
        <w:jc w:val="left"/>
      </w:pPr>
      <w:r>
        <w:rPr>
          <w:rFonts w:ascii="DFKai-SB" w:hAnsi="DFKai-SB" w:eastAsia="DFKai-SB"/>
          <w:b/>
          <w:sz w:val="22"/>
        </w:rPr>
        <w:t>表 3</w:t>
      </w:r>
    </w:p>
    <w:p>
      <w:pPr>
        <w:pStyle w:val="CaptionAPA"/>
        <w:keepNext/>
        <w:spacing w:before="0" w:after="0" w:line="240" w:lineRule="auto"/>
        <w:jc w:val="left"/>
      </w:pPr>
      <w:r>
        <w:rPr>
          <w:rFonts w:ascii="DFKai-SB" w:hAnsi="DFKai-SB" w:eastAsia="DFKai-SB"/>
          <w:i/>
          <w:sz w:val="22"/>
        </w:rPr>
        <w:t>收錄題章節分布與高答錯率題數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3000"/>
            <w:shd w:fill="1D4E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b/>
                <w:color w:val="FFFFFF"/>
                <w:sz w:val="18"/>
              </w:rPr>
              <w:t>章節</w:t>
            </w:r>
          </w:p>
        </w:tc>
        <w:tc>
          <w:tcPr>
            <w:tcW w:type="dxa" w:w="2000"/>
            <w:shd w:fill="1D4E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b/>
                <w:color w:val="FFFFFF"/>
                <w:sz w:val="18"/>
              </w:rPr>
              <w:t>收錄題數</w:t>
            </w:r>
          </w:p>
        </w:tc>
        <w:tc>
          <w:tcPr>
            <w:tcW w:type="dxa" w:w="2200"/>
            <w:shd w:fill="1D4E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b/>
                <w:color w:val="FFFFFF"/>
                <w:sz w:val="18"/>
              </w:rPr>
              <w:t>具統計題數</w:t>
            </w:r>
          </w:p>
        </w:tc>
        <w:tc>
          <w:tcPr>
            <w:tcW w:type="dxa" w:w="2160"/>
            <w:shd w:fill="1D4E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b/>
                <w:color w:val="FFFFFF"/>
                <w:sz w:val="18"/>
              </w:rPr>
              <w:t>高答錯率題數</w:t>
            </w:r>
          </w:p>
        </w:tc>
      </w:tr>
      <w:tr>
        <w:trPr>
          <w:trHeight w:hRule="atLeast"/>
        </w:trPr>
        <w:tc>
          <w:tcPr>
            <w:tcW w:type="dxa" w:w="3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植物生理</w:t>
            </w:r>
          </w:p>
        </w:tc>
        <w:tc>
          <w:tcPr>
            <w:tcW w:type="dxa" w:w="2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7</w:t>
            </w:r>
          </w:p>
        </w:tc>
        <w:tc>
          <w:tcPr>
            <w:tcW w:type="dxa" w:w="2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4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0</w:t>
            </w:r>
          </w:p>
        </w:tc>
      </w:tr>
      <w:tr>
        <w:trPr>
          <w:trHeight w:hRule="atLeast"/>
        </w:trPr>
        <w:tc>
          <w:tcPr>
            <w:tcW w:type="dxa" w:w="3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分類</w:t>
            </w:r>
          </w:p>
        </w:tc>
        <w:tc>
          <w:tcPr>
            <w:tcW w:type="dxa" w:w="2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6</w:t>
            </w:r>
          </w:p>
        </w:tc>
        <w:tc>
          <w:tcPr>
            <w:tcW w:type="dxa" w:w="2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5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1</w:t>
            </w:r>
          </w:p>
        </w:tc>
      </w:tr>
      <w:tr>
        <w:trPr>
          <w:trHeight w:hRule="atLeast"/>
        </w:trPr>
        <w:tc>
          <w:tcPr>
            <w:tcW w:type="dxa" w:w="3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協調作用</w:t>
            </w:r>
          </w:p>
        </w:tc>
        <w:tc>
          <w:tcPr>
            <w:tcW w:type="dxa" w:w="2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5</w:t>
            </w:r>
          </w:p>
        </w:tc>
        <w:tc>
          <w:tcPr>
            <w:tcW w:type="dxa" w:w="2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4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0</w:t>
            </w:r>
          </w:p>
        </w:tc>
      </w:tr>
      <w:tr>
        <w:trPr>
          <w:trHeight w:hRule="atLeast"/>
        </w:trPr>
        <w:tc>
          <w:tcPr>
            <w:tcW w:type="dxa" w:w="3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生態</w:t>
            </w:r>
          </w:p>
        </w:tc>
        <w:tc>
          <w:tcPr>
            <w:tcW w:type="dxa" w:w="2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5</w:t>
            </w:r>
          </w:p>
        </w:tc>
        <w:tc>
          <w:tcPr>
            <w:tcW w:type="dxa" w:w="2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4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0</w:t>
            </w:r>
          </w:p>
        </w:tc>
      </w:tr>
      <w:tr>
        <w:trPr>
          <w:trHeight w:hRule="atLeast"/>
        </w:trPr>
        <w:tc>
          <w:tcPr>
            <w:tcW w:type="dxa" w:w="3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循環</w:t>
            </w:r>
          </w:p>
        </w:tc>
        <w:tc>
          <w:tcPr>
            <w:tcW w:type="dxa" w:w="2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4</w:t>
            </w:r>
          </w:p>
        </w:tc>
        <w:tc>
          <w:tcPr>
            <w:tcW w:type="dxa" w:w="2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3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1</w:t>
            </w:r>
          </w:p>
        </w:tc>
      </w:tr>
      <w:tr>
        <w:trPr>
          <w:trHeight w:hRule="atLeast"/>
        </w:trPr>
        <w:tc>
          <w:tcPr>
            <w:tcW w:type="dxa" w:w="3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恆定性</w:t>
            </w:r>
          </w:p>
        </w:tc>
        <w:tc>
          <w:tcPr>
            <w:tcW w:type="dxa" w:w="2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3</w:t>
            </w:r>
          </w:p>
        </w:tc>
        <w:tc>
          <w:tcPr>
            <w:tcW w:type="dxa" w:w="2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2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1</w:t>
            </w:r>
          </w:p>
        </w:tc>
      </w:tr>
      <w:tr>
        <w:trPr>
          <w:trHeight w:hRule="atLeast"/>
        </w:trPr>
        <w:tc>
          <w:tcPr>
            <w:tcW w:type="dxa" w:w="3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營養</w:t>
            </w:r>
          </w:p>
        </w:tc>
        <w:tc>
          <w:tcPr>
            <w:tcW w:type="dxa" w:w="2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3</w:t>
            </w:r>
          </w:p>
        </w:tc>
        <w:tc>
          <w:tcPr>
            <w:tcW w:type="dxa" w:w="2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2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2</w:t>
            </w:r>
          </w:p>
        </w:tc>
      </w:tr>
      <w:tr>
        <w:trPr>
          <w:trHeight w:hRule="atLeast"/>
        </w:trPr>
        <w:tc>
          <w:tcPr>
            <w:tcW w:type="dxa" w:w="3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遺傳</w:t>
            </w:r>
          </w:p>
        </w:tc>
        <w:tc>
          <w:tcPr>
            <w:tcW w:type="dxa" w:w="2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3</w:t>
            </w:r>
          </w:p>
        </w:tc>
        <w:tc>
          <w:tcPr>
            <w:tcW w:type="dxa" w:w="2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2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1</w:t>
            </w:r>
          </w:p>
        </w:tc>
      </w:tr>
      <w:tr>
        <w:trPr>
          <w:trHeight w:hRule="atLeast"/>
        </w:trPr>
        <w:tc>
          <w:tcPr>
            <w:tcW w:type="dxa" w:w="3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環境</w:t>
            </w:r>
          </w:p>
        </w:tc>
        <w:tc>
          <w:tcPr>
            <w:tcW w:type="dxa" w:w="2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2</w:t>
            </w:r>
          </w:p>
        </w:tc>
        <w:tc>
          <w:tcPr>
            <w:tcW w:type="dxa" w:w="2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2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0</w:t>
            </w:r>
          </w:p>
        </w:tc>
      </w:tr>
      <w:tr>
        <w:trPr>
          <w:trHeight w:hRule="atLeast"/>
        </w:trPr>
        <w:tc>
          <w:tcPr>
            <w:tcW w:type="dxa" w:w="3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生殖</w:t>
            </w:r>
          </w:p>
        </w:tc>
        <w:tc>
          <w:tcPr>
            <w:tcW w:type="dxa" w:w="2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2</w:t>
            </w:r>
          </w:p>
        </w:tc>
        <w:tc>
          <w:tcPr>
            <w:tcW w:type="dxa" w:w="2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1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1</w:t>
            </w:r>
          </w:p>
        </w:tc>
      </w:tr>
      <w:tr>
        <w:trPr>
          <w:trHeight w:hRule="atLeast"/>
        </w:trPr>
        <w:tc>
          <w:tcPr>
            <w:tcW w:type="dxa" w:w="3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科學探究</w:t>
            </w:r>
          </w:p>
        </w:tc>
        <w:tc>
          <w:tcPr>
            <w:tcW w:type="dxa" w:w="2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2</w:t>
            </w:r>
          </w:p>
        </w:tc>
        <w:tc>
          <w:tcPr>
            <w:tcW w:type="dxa" w:w="2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2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1</w:t>
            </w:r>
          </w:p>
        </w:tc>
      </w:tr>
      <w:tr>
        <w:trPr>
          <w:trHeight w:hRule="atLeast"/>
        </w:trPr>
        <w:tc>
          <w:tcPr>
            <w:tcW w:type="dxa" w:w="3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細胞</w:t>
            </w:r>
          </w:p>
        </w:tc>
        <w:tc>
          <w:tcPr>
            <w:tcW w:type="dxa" w:w="2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2</w:t>
            </w:r>
          </w:p>
        </w:tc>
        <w:tc>
          <w:tcPr>
            <w:tcW w:type="dxa" w:w="2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1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0</w:t>
            </w:r>
          </w:p>
        </w:tc>
      </w:tr>
      <w:tr>
        <w:trPr>
          <w:trHeight w:hRule="atLeast"/>
        </w:trPr>
        <w:tc>
          <w:tcPr>
            <w:tcW w:type="dxa" w:w="3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呼吸</w:t>
            </w:r>
          </w:p>
        </w:tc>
        <w:tc>
          <w:tcPr>
            <w:tcW w:type="dxa" w:w="20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1</w:t>
            </w:r>
          </w:p>
        </w:tc>
        <w:tc>
          <w:tcPr>
            <w:tcW w:type="dxa" w:w="2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8"/>
              </w:rPr>
              <w:t>0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8"/>
              </w:rPr>
              <w:t>0</w:t>
            </w:r>
          </w:p>
        </w:tc>
      </w:tr>
    </w:tbl>
    <w:p>
      <w:pPr>
        <w:keepNext w:val="0"/>
        <w:spacing w:before="100" w:after="140" w:line="240" w:lineRule="auto"/>
        <w:ind w:left="288"/>
        <w:jc w:val="both"/>
      </w:pPr>
      <w:r>
        <w:rPr>
          <w:rFonts w:ascii="DFKai-SB" w:hAnsi="DFKai-SB" w:eastAsia="DFKai-SB"/>
          <w:b/>
          <w:color w:val="1D4E89"/>
          <w:sz w:val="22"/>
        </w:rPr>
        <w:t>研究結果說明：</w:t>
      </w:r>
      <w:r>
        <w:rPr>
          <w:rFonts w:ascii="DFKai-SB" w:hAnsi="DFKai-SB" w:eastAsia="DFKai-SB"/>
          <w:sz w:val="22"/>
        </w:rPr>
        <w:t>收錄最多的章節為「植物生理」，共7題。章節題數反映本站選題分布；高答錯率題數可作為單元複習排程的輔助指標。</w:t>
      </w:r>
    </w:p>
    <w:p>
      <w:r>
        <w:rPr>
          <w:rFonts w:ascii="DFKai-SB" w:hAnsi="DFKai-SB" w:eastAsia="DFKai-SB"/>
        </w:rPr>
        <w:br w:type="page"/>
      </w:r>
    </w:p>
    <w:p>
      <w:pPr>
        <w:pStyle w:val="Heading1"/>
        <w:keepNext/>
        <w:spacing w:before="200" w:after="80" w:line="240" w:lineRule="auto"/>
        <w:jc w:val="center"/>
      </w:pPr>
      <w:r>
        <w:rPr>
          <w:rFonts w:ascii="DFKai-SB" w:hAnsi="DFKai-SB" w:eastAsia="DFKai-SB"/>
          <w:b/>
          <w:sz w:val="28"/>
        </w:rPr>
        <w:t>完整題目統計資料</w:t>
      </w:r>
    </w:p>
    <w:p>
      <w:pPr>
        <w:keepNext w:val="0"/>
        <w:spacing w:before="0" w:after="0" w:line="480" w:lineRule="auto"/>
        <w:jc w:val="both"/>
      </w:pPr>
      <w:r>
        <w:rPr>
          <w:rFonts w:ascii="DFKai-SB" w:hAnsi="DFKai-SB" w:eastAsia="DFKai-SB"/>
          <w:sz w:val="24"/>
        </w:rPr>
        <w:t>表4列出網站全部45題的年度、題號、章節、主題、教學難度、全國通過率、答錯率與統計難度。破折號表示尚未取得公開全國逐題統計。</w:t>
      </w:r>
    </w:p>
    <w:p>
      <w:pPr>
        <w:pStyle w:val="CaptionAPA"/>
        <w:keepNext/>
        <w:spacing w:before="160" w:after="0" w:line="240" w:lineRule="auto"/>
        <w:jc w:val="left"/>
      </w:pPr>
      <w:r>
        <w:rPr>
          <w:rFonts w:ascii="DFKai-SB" w:hAnsi="DFKai-SB" w:eastAsia="DFKai-SB"/>
          <w:b/>
          <w:sz w:val="22"/>
        </w:rPr>
        <w:t>表 4</w:t>
      </w:r>
    </w:p>
    <w:p>
      <w:pPr>
        <w:pStyle w:val="CaptionAPA"/>
        <w:keepNext/>
        <w:spacing w:before="0" w:after="0" w:line="240" w:lineRule="auto"/>
        <w:jc w:val="left"/>
      </w:pPr>
      <w:r>
        <w:rPr>
          <w:rFonts w:ascii="DFKai-SB" w:hAnsi="DFKai-SB" w:eastAsia="DFKai-SB"/>
          <w:i/>
          <w:sz w:val="22"/>
        </w:rPr>
        <w:t>112–115 年全國會考生物試題分析資料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1200"/>
            <w:shd w:fill="1D4E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b/>
                <w:color w:val="FFFFFF"/>
                <w:sz w:val="16"/>
              </w:rPr>
              <w:t>年度－題號</w:t>
            </w:r>
          </w:p>
        </w:tc>
        <w:tc>
          <w:tcPr>
            <w:tcW w:type="dxa" w:w="1200"/>
            <w:shd w:fill="1D4E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b/>
                <w:color w:val="FFFFFF"/>
                <w:sz w:val="16"/>
              </w:rPr>
              <w:t>章節</w:t>
            </w:r>
          </w:p>
        </w:tc>
        <w:tc>
          <w:tcPr>
            <w:tcW w:type="dxa" w:w="2600"/>
            <w:shd w:fill="1D4E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b/>
                <w:color w:val="FFFFFF"/>
                <w:sz w:val="16"/>
              </w:rPr>
              <w:t>主題</w:t>
            </w:r>
          </w:p>
        </w:tc>
        <w:tc>
          <w:tcPr>
            <w:tcW w:type="dxa" w:w="1050"/>
            <w:shd w:fill="1D4E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b/>
                <w:color w:val="FFFFFF"/>
                <w:sz w:val="16"/>
              </w:rPr>
              <w:t>教學難度</w:t>
            </w:r>
          </w:p>
        </w:tc>
        <w:tc>
          <w:tcPr>
            <w:tcW w:type="dxa" w:w="1100"/>
            <w:shd w:fill="1D4E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b/>
                <w:color w:val="FFFFFF"/>
                <w:sz w:val="16"/>
              </w:rPr>
              <w:t>通過率</w:t>
            </w:r>
          </w:p>
        </w:tc>
        <w:tc>
          <w:tcPr>
            <w:tcW w:type="dxa" w:w="1100"/>
            <w:shd w:fill="1D4E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b/>
                <w:color w:val="FFFFFF"/>
                <w:sz w:val="16"/>
              </w:rPr>
              <w:t>答錯率</w:t>
            </w:r>
          </w:p>
        </w:tc>
        <w:tc>
          <w:tcPr>
            <w:tcW w:type="dxa" w:w="1110"/>
            <w:shd w:fill="1D4E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b/>
                <w:color w:val="FFFFFF"/>
                <w:sz w:val="16"/>
              </w:rPr>
              <w:t>統計難度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112－1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生態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生物多樣性與穩定性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基礎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79.7%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20.3%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低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112－4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分類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真菌構造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基礎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80.2%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19.8%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低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112－8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協調作用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血糖調節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基礎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66.0%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34.0%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112－14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生態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生物累積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55.6%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44.4%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112－16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植物生理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光合作用與運輸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基礎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59.5%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40.5%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112－20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分類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分類階層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進階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64.9%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35.1%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112－22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恆定性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體溫與潛伏期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69.0%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30.9%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112－31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循環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顯微鏡與血流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進階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50.2%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49.8%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高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112－39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遺傳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突變與遺傳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46.9%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53.1%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高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113－5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協調作用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副甲狀腺與骨骼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基礎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81.3%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18.7%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低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113－9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細胞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滲透作用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74.3%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25.7%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113－14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生態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族群數量變化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71.7%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28.3%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113－22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植物生理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形成層與韌皮部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57.0%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43.0%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113－33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恆定性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泌尿系統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49.7%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50.3%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高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113－39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分類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二名法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基礎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65.5%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34.5%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113－41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營養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酵素與溫度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38.2%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61.8%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高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113－42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環境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食蛇龜保育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基礎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86.4%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13.6%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低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113－43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環境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IUCN風險分類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84.1%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15.9%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低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114－3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生態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種間交互作用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基礎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90.0%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10.0%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低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114－8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植物生理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光合作用與呼吸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基礎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68.0%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32.0%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114－12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協調作用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神經傳導路徑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70.0%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30.0%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114－20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協調作用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餐後血糖曲線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55.0%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45.0%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114－22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植物生理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蒸散與木質部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65.0%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35.0%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114－24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分類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鳥類分類階層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進階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56.0%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44.0%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114－30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遺傳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顯隱性遺傳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進階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63.0%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37.0%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114－34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分類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生物界特徵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53.0%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47.0%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高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114－35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生殖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細胞分裂與生長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33.0%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67.0%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高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114－36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營養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澱粉酵素檢測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進階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42.0%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58.0%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高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114－43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科學探究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溫度與蒜頭變色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59.0%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41.0%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114－44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科學探究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酸性環境與變色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進階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42.0%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58.0%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高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114－45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循環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出血時間檢查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65.0%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35.0%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114－46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循環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血小板與凝血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基礎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72.0%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28.0%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115－6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細胞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顯微尺度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待統計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115－10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協調作用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中樞神經系統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待統計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115－11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呼吸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呼吸運動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待統計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115－13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生殖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玉米育種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基礎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待統計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115－20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恆定性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排泄器官類比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基礎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待統計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115－21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生態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捉放法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待統計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115－24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植物生理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光合作用反應物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基礎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待統計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115－25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遺傳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遺傳機率模擬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待統計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115－29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分類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種子植物特徵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基礎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待統計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115－37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營養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蛋白質消化酵素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待統計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115－39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循環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血液回心路徑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待統計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115－44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植物生理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蒸散速率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中等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待統計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115－45</w:t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植物生理</w:t>
            </w:r>
          </w:p>
        </w:tc>
        <w:tc>
          <w:tcPr>
            <w:tcW w:type="dxa" w:w="2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DFKai-SB" w:hAnsi="DFKai-SB" w:eastAsia="DFKai-SB"/>
                <w:sz w:val="16"/>
              </w:rPr>
              <w:t>蒸散實驗推論</w:t>
            </w:r>
          </w:p>
        </w:tc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進階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—</w:t>
            </w:r>
          </w:p>
        </w:tc>
        <w:tc>
          <w:tcPr>
            <w:tcW w:type="dxa" w:w="11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DFKai-SB" w:hAnsi="DFKai-SB" w:eastAsia="DFKai-SB"/>
                <w:sz w:val="16"/>
              </w:rPr>
              <w:t>待統計</w:t>
            </w:r>
          </w:p>
        </w:tc>
      </w:tr>
    </w:tbl>
    <w:p>
      <w:pPr>
        <w:keepNext w:val="0"/>
        <w:spacing w:before="100" w:after="140" w:line="240" w:lineRule="auto"/>
        <w:ind w:left="288"/>
        <w:jc w:val="both"/>
      </w:pPr>
      <w:r>
        <w:rPr>
          <w:rFonts w:ascii="DFKai-SB" w:hAnsi="DFKai-SB" w:eastAsia="DFKai-SB"/>
          <w:b/>
          <w:color w:val="1D4E89"/>
          <w:sz w:val="22"/>
        </w:rPr>
        <w:t>研究結果說明：</w:t>
      </w:r>
      <w:r>
        <w:rPr>
          <w:rFonts w:ascii="DFKai-SB" w:hAnsi="DFKai-SB" w:eastAsia="DFKai-SB"/>
          <w:sz w:val="22"/>
        </w:rPr>
        <w:t>表4保留全部收錄題資料，可依年度、章節或答錯率進一步篩選。115年題目雖無逐題統計，仍完整保留題目分析與教學難度，避免把缺值誤判為零答錯率。</w:t>
      </w:r>
    </w:p>
    <w:p>
      <w:pPr>
        <w:pStyle w:val="Heading1"/>
        <w:keepNext/>
        <w:spacing w:before="200" w:after="80" w:line="240" w:lineRule="auto"/>
        <w:jc w:val="center"/>
      </w:pPr>
      <w:r>
        <w:rPr>
          <w:rFonts w:ascii="DFKai-SB" w:hAnsi="DFKai-SB" w:eastAsia="DFKai-SB"/>
          <w:b/>
          <w:sz w:val="28"/>
        </w:rPr>
        <w:t>討論與教學應用</w:t>
      </w:r>
    </w:p>
    <w:p>
      <w:pPr>
        <w:keepNext w:val="0"/>
        <w:spacing w:before="0" w:after="0" w:line="480" w:lineRule="auto"/>
        <w:ind w:firstLine="720"/>
        <w:jc w:val="both"/>
      </w:pPr>
      <w:r>
        <w:rPr>
          <w:rFonts w:ascii="DFKai-SB" w:hAnsi="DFKai-SB" w:eastAsia="DFKai-SB"/>
          <w:sz w:val="24"/>
        </w:rPr>
        <w:t>全國答錯率可以協助辨識具有普遍困難的題目，但不能取代學生個人診斷。教師可先以高答錯率題作為全班共通複習素材，再依個人作答紀錄補強章節；學生則可先閱讀完整題幹與選項，作答後再對照解題關鍵與常見誤區，避免只背答案。</w:t>
      </w:r>
    </w:p>
    <w:p>
      <w:pPr>
        <w:keepNext w:val="0"/>
        <w:spacing w:before="0" w:after="0" w:line="480" w:lineRule="auto"/>
        <w:ind w:firstLine="720"/>
        <w:jc w:val="both"/>
      </w:pPr>
      <w:r>
        <w:rPr>
          <w:rFonts w:ascii="DFKai-SB" w:hAnsi="DFKai-SB" w:eastAsia="DFKai-SB"/>
          <w:sz w:val="24"/>
        </w:rPr>
        <w:t>含圖表或題組材料的題目，網站提供可搜尋的文字題幹與選項，但仍應搭配官方題本觀看原始圖像、表格與共用閱讀材料。若後續取得115年公開的全國逐題統計，建議更新同一資料表並重新計算年度平均及排序。</w:t>
      </w:r>
    </w:p>
    <w:p>
      <w:r>
        <w:rPr>
          <w:rFonts w:ascii="DFKai-SB" w:hAnsi="DFKai-SB" w:eastAsia="DFKai-SB"/>
        </w:rPr>
        <w:br w:type="page"/>
      </w:r>
    </w:p>
    <w:p>
      <w:pPr>
        <w:pStyle w:val="Heading1"/>
        <w:keepNext/>
        <w:spacing w:before="200" w:after="80" w:line="240" w:lineRule="auto"/>
        <w:jc w:val="center"/>
      </w:pPr>
      <w:r>
        <w:rPr>
          <w:rFonts w:ascii="DFKai-SB" w:hAnsi="DFKai-SB" w:eastAsia="DFKai-SB"/>
          <w:b/>
          <w:sz w:val="28"/>
        </w:rPr>
        <w:t>參考文獻</w:t>
      </w:r>
    </w:p>
    <w:p>
      <w:pPr>
        <w:keepNext w:val="0"/>
        <w:spacing w:before="0" w:after="120" w:line="480" w:lineRule="auto"/>
        <w:ind w:left="720" w:hanging="720"/>
        <w:jc w:val="both"/>
      </w:pPr>
      <w:r>
        <w:rPr>
          <w:rFonts w:ascii="DFKai-SB" w:hAnsi="DFKai-SB" w:eastAsia="DFKai-SB"/>
          <w:sz w:val="24"/>
        </w:rPr>
        <w:t>國中教育會考。（無日期）。歷屆試題。https://cap.rcpet.edu.tw/examination.html</w:t>
      </w:r>
    </w:p>
    <w:p>
      <w:pPr>
        <w:keepNext w:val="0"/>
        <w:spacing w:before="0" w:after="120" w:line="480" w:lineRule="auto"/>
        <w:ind w:left="720" w:hanging="720"/>
        <w:jc w:val="both"/>
      </w:pPr>
      <w:r>
        <w:rPr>
          <w:rFonts w:ascii="DFKai-SB" w:hAnsi="DFKai-SB" w:eastAsia="DFKai-SB"/>
          <w:sz w:val="24"/>
        </w:rPr>
        <w:t>嘉義縣立中埔國民中學。（2023）。112年國中教育會考：全國自然科試題分析［資料檔］。https://www.cpjh.cyc.edu.tw/modules/tadnews/index.php?nsn=11935</w:t>
      </w:r>
    </w:p>
    <w:p>
      <w:pPr>
        <w:keepNext w:val="0"/>
        <w:spacing w:before="0" w:after="120" w:line="480" w:lineRule="auto"/>
        <w:ind w:left="720" w:hanging="720"/>
        <w:jc w:val="both"/>
      </w:pPr>
      <w:r>
        <w:rPr>
          <w:rFonts w:ascii="DFKai-SB" w:hAnsi="DFKai-SB" w:eastAsia="DFKai-SB"/>
          <w:sz w:val="24"/>
        </w:rPr>
        <w:t>嘉義縣立中埔國民中學。（2024）。113年國中教育會考：全國自然科試題分析［資料檔］。https://www.cpjh.cyc.edu.tw/modules/tadnews/index.php?nsn=12721</w:t>
      </w:r>
    </w:p>
    <w:p>
      <w:pPr>
        <w:keepNext w:val="0"/>
        <w:spacing w:before="0" w:after="120" w:line="480" w:lineRule="auto"/>
        <w:ind w:left="720" w:hanging="720"/>
        <w:jc w:val="both"/>
      </w:pPr>
      <w:r>
        <w:rPr>
          <w:rFonts w:ascii="DFKai-SB" w:hAnsi="DFKai-SB" w:eastAsia="DFKai-SB"/>
          <w:sz w:val="24"/>
        </w:rPr>
        <w:t>新北市立中平國民中學。（2025）。114年國中教育會考：全國各科試題通過率分析［資料檔］。https://www.cpjh.ntpc.edu.tw/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DFKai-SB" w:hAnsi="DFKai-SB" w:eastAsia="DFKai-SB"/>
        <w:color w:val="5F6F7F"/>
        <w:sz w:val="18"/>
      </w:rPr>
      <w:t xml:space="preserve">全國會考生物試題分析　</w:t>
    </w:r>
    <w:r>
      <w:rPr>
        <w:rFonts w:ascii="DFKai-SB" w:hAnsi="DFKai-SB" w:eastAsia="DFKai-SB"/>
        <w:color w:val="5F6F7F"/>
        <w:sz w:val="18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jc w:val="both"/>
    </w:pPr>
    <w:rPr>
      <w:rFonts w:ascii="DFKai-SB" w:hAnsi="DFKai-SB" w:eastAsia="DFKai-S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FKai-SB" w:hAnsi="DFKai-SB" w:eastAsia="DFKai-SB"/>
      <w:b/>
      <w:bCs/>
      <w:color w:val="2222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FKai-SB" w:hAnsi="DFKai-SB" w:eastAsia="DFKai-SB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FKai-SB" w:hAnsi="DFKai-SB" w:eastAsia="DFKai-SB"/>
      <w:b/>
      <w:color w:val="22222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APA">
    <w:name w:val="Caption APA"/>
    <w:pPr>
      <w:spacing w:line="240" w:lineRule="auto"/>
    </w:pPr>
    <w:rPr>
      <w:rFonts w:ascii="DFKai-SB" w:hAnsi="DFKai-SB" w:eastAsia="DFKai-SB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