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CDC" w:rsidRPr="00B962A0" w:rsidRDefault="00763629" w:rsidP="00C664BA">
      <w:pPr>
        <w:spacing w:line="400" w:lineRule="exact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B962A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FC9E6" wp14:editId="46513606">
                <wp:simplePos x="0" y="0"/>
                <wp:positionH relativeFrom="column">
                  <wp:posOffset>85725</wp:posOffset>
                </wp:positionH>
                <wp:positionV relativeFrom="paragraph">
                  <wp:posOffset>-447040</wp:posOffset>
                </wp:positionV>
                <wp:extent cx="1059180" cy="548640"/>
                <wp:effectExtent l="0" t="0" r="0" b="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619E" w:rsidRPr="0022619E" w:rsidRDefault="000A0934">
                            <w:pPr>
                              <w:rPr>
                                <w:rFonts w:ascii="標楷體" w:eastAsia="標楷體" w:hAnsi="標楷體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  <w:sz w:val="32"/>
                                <w:szCs w:val="32"/>
                              </w:rPr>
                              <w:t>附件</w:t>
                            </w:r>
                            <w:r w:rsidR="00C54F7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  <w:szCs w:val="32"/>
                              </w:rPr>
                              <w:t>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6.75pt;margin-top:-35.2pt;width:83.4pt;height:43.2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" filled="f" stroked="f">
                <v:textbox style="mso-fit-shape-to-text:t">
                  <w:txbxContent>
                    <w:p w:rsidR="0022619E" w:rsidRPr="0022619E" w:rsidRDefault="000A0934">
                      <w:pPr>
                        <w:rPr>
                          <w:rFonts w:ascii="標楷體" w:eastAsia="標楷體" w:hAnsi="標楷體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標楷體" w:eastAsia="標楷體" w:hAnsi="標楷體"/>
                          <w:b/>
                          <w:sz w:val="32"/>
                          <w:szCs w:val="32"/>
                        </w:rPr>
                        <w:t>附件</w:t>
                      </w:r>
                      <w:r w:rsidR="00C54F71">
                        <w:rPr>
                          <w:rFonts w:ascii="標楷體" w:eastAsia="標楷體" w:hAnsi="標楷體" w:hint="eastAsia"/>
                          <w:b/>
                          <w:sz w:val="32"/>
                          <w:szCs w:val="32"/>
                        </w:rPr>
                        <w:t>二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E7CDC" w:rsidRPr="00B962A0">
        <w:rPr>
          <w:rFonts w:ascii="Times New Roman" w:eastAsia="標楷體" w:hAnsi="Times New Roman" w:cs="Times New Roman"/>
          <w:b/>
          <w:sz w:val="32"/>
          <w:szCs w:val="32"/>
        </w:rPr>
        <w:t>大專校院</w:t>
      </w:r>
      <w:r w:rsidR="00C664BA" w:rsidRPr="00B962A0">
        <w:rPr>
          <w:rFonts w:ascii="Times New Roman" w:eastAsia="標楷體" w:hAnsi="Times New Roman" w:cs="Times New Roman"/>
          <w:b/>
          <w:sz w:val="32"/>
          <w:szCs w:val="32"/>
        </w:rPr>
        <w:t>餐飲衛生輔導表</w:t>
      </w:r>
    </w:p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99"/>
        <w:gridCol w:w="3441"/>
        <w:gridCol w:w="2522"/>
        <w:gridCol w:w="2552"/>
      </w:tblGrid>
      <w:tr w:rsidR="00B962A0" w:rsidRPr="00B962A0" w:rsidTr="00024E94">
        <w:trPr>
          <w:trHeight w:val="448"/>
          <w:tblHeader/>
          <w:jc w:val="center"/>
        </w:trPr>
        <w:tc>
          <w:tcPr>
            <w:tcW w:w="846" w:type="dxa"/>
          </w:tcPr>
          <w:p w:rsidR="00832B45" w:rsidRPr="00B962A0" w:rsidRDefault="00832B45" w:rsidP="00832B45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檢查項目</w:t>
            </w:r>
          </w:p>
        </w:tc>
        <w:tc>
          <w:tcPr>
            <w:tcW w:w="699" w:type="dxa"/>
            <w:vAlign w:val="center"/>
          </w:tcPr>
          <w:p w:rsidR="00832B45" w:rsidRPr="00B962A0" w:rsidRDefault="00832B45" w:rsidP="0094278B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  <w:tc>
          <w:tcPr>
            <w:tcW w:w="3441" w:type="dxa"/>
            <w:vAlign w:val="center"/>
          </w:tcPr>
          <w:p w:rsidR="00832B45" w:rsidRPr="00B962A0" w:rsidRDefault="00832B45" w:rsidP="0094278B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內容說明</w:t>
            </w:r>
          </w:p>
        </w:tc>
        <w:tc>
          <w:tcPr>
            <w:tcW w:w="2522" w:type="dxa"/>
            <w:vAlign w:val="center"/>
          </w:tcPr>
          <w:p w:rsidR="00832B45" w:rsidRPr="00B962A0" w:rsidRDefault="00832B45" w:rsidP="00832B45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</w:rPr>
              <w:t>自主檢核</w:t>
            </w:r>
          </w:p>
        </w:tc>
        <w:tc>
          <w:tcPr>
            <w:tcW w:w="2552" w:type="dxa"/>
            <w:vAlign w:val="center"/>
          </w:tcPr>
          <w:p w:rsidR="00832B45" w:rsidRPr="00B962A0" w:rsidRDefault="00832B45" w:rsidP="00832B45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B962A0">
              <w:rPr>
                <w:rFonts w:ascii="Times New Roman" w:eastAsia="標楷體" w:hAnsi="Times New Roman" w:cs="Times New Roman"/>
              </w:rPr>
              <w:t>輔導結果</w:t>
            </w:r>
          </w:p>
        </w:tc>
      </w:tr>
      <w:tr w:rsidR="00B962A0" w:rsidRPr="00B962A0" w:rsidTr="00024E94">
        <w:trPr>
          <w:cantSplit/>
          <w:trHeight w:val="335"/>
          <w:jc w:val="center"/>
        </w:trPr>
        <w:tc>
          <w:tcPr>
            <w:tcW w:w="846" w:type="dxa"/>
            <w:vMerge w:val="restart"/>
          </w:tcPr>
          <w:p w:rsidR="00832B45" w:rsidRPr="00B962A0" w:rsidRDefault="00832B45" w:rsidP="00832B45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作業場所設施規劃、維護與管理</w:t>
            </w:r>
          </w:p>
        </w:tc>
        <w:tc>
          <w:tcPr>
            <w:tcW w:w="699" w:type="dxa"/>
            <w:vAlign w:val="center"/>
          </w:tcPr>
          <w:p w:rsidR="00832B45" w:rsidRPr="00B962A0" w:rsidRDefault="00832B45" w:rsidP="0094278B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3441" w:type="dxa"/>
            <w:vAlign w:val="center"/>
          </w:tcPr>
          <w:p w:rsidR="00832B45" w:rsidRPr="00B962A0" w:rsidRDefault="00832B45" w:rsidP="0094278B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各作業場所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前處理、製備、配膳、供膳、倉儲區等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應適當區隔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包含時間區隔與空間區隔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，且有良好通風及排氣。</w:t>
            </w:r>
          </w:p>
        </w:tc>
        <w:tc>
          <w:tcPr>
            <w:tcW w:w="2522" w:type="dxa"/>
          </w:tcPr>
          <w:p w:rsidR="00832B45" w:rsidRPr="00B962A0" w:rsidRDefault="00832B45" w:rsidP="00832B4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832B45" w:rsidRPr="00B962A0" w:rsidRDefault="00832B45" w:rsidP="00832B45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  <w:tc>
          <w:tcPr>
            <w:tcW w:w="2552" w:type="dxa"/>
          </w:tcPr>
          <w:p w:rsidR="00832B45" w:rsidRPr="00B962A0" w:rsidRDefault="00832B45" w:rsidP="00832B4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832B45" w:rsidRPr="00B962A0" w:rsidRDefault="00832B45" w:rsidP="00832B45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</w:tr>
      <w:tr w:rsidR="00B962A0" w:rsidRPr="00B962A0" w:rsidTr="00024E94">
        <w:trPr>
          <w:cantSplit/>
          <w:trHeight w:val="335"/>
          <w:jc w:val="center"/>
        </w:trPr>
        <w:tc>
          <w:tcPr>
            <w:tcW w:w="846" w:type="dxa"/>
            <w:vMerge/>
          </w:tcPr>
          <w:p w:rsidR="00784A94" w:rsidRPr="00B962A0" w:rsidRDefault="00784A94" w:rsidP="00784A94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784A94" w:rsidRPr="00B962A0" w:rsidRDefault="00863E62" w:rsidP="00784A94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2</w:t>
            </w:r>
          </w:p>
        </w:tc>
        <w:tc>
          <w:tcPr>
            <w:tcW w:w="3441" w:type="dxa"/>
            <w:vAlign w:val="center"/>
          </w:tcPr>
          <w:p w:rsidR="00784A94" w:rsidRPr="00B962A0" w:rsidRDefault="00784A94" w:rsidP="00784A94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proofErr w:type="gramStart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應設層架</w:t>
            </w:r>
            <w:proofErr w:type="gramEnd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、推車分</w:t>
            </w:r>
            <w:bookmarkStart w:id="0" w:name="_GoBack"/>
            <w:bookmarkEnd w:id="0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別用於放置食品及物料等，以避免生熟食交叉污染。</w:t>
            </w:r>
          </w:p>
        </w:tc>
        <w:tc>
          <w:tcPr>
            <w:tcW w:w="2522" w:type="dxa"/>
          </w:tcPr>
          <w:p w:rsidR="00784A94" w:rsidRPr="00B962A0" w:rsidRDefault="00784A94" w:rsidP="00784A94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784A94" w:rsidRPr="00B962A0" w:rsidRDefault="00784A94" w:rsidP="00784A94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  <w:tc>
          <w:tcPr>
            <w:tcW w:w="2552" w:type="dxa"/>
          </w:tcPr>
          <w:p w:rsidR="00784A94" w:rsidRPr="00B962A0" w:rsidRDefault="00784A94" w:rsidP="00784A94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784A94" w:rsidRPr="00B962A0" w:rsidRDefault="00784A94" w:rsidP="00784A94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</w:tr>
      <w:tr w:rsidR="00B962A0" w:rsidRPr="00B962A0" w:rsidTr="00024E94">
        <w:trPr>
          <w:cantSplit/>
          <w:trHeight w:val="335"/>
          <w:jc w:val="center"/>
        </w:trPr>
        <w:tc>
          <w:tcPr>
            <w:tcW w:w="846" w:type="dxa"/>
            <w:vMerge/>
          </w:tcPr>
          <w:p w:rsidR="00784A94" w:rsidRPr="00B962A0" w:rsidRDefault="00784A94" w:rsidP="00784A94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784A94" w:rsidRPr="00B962A0" w:rsidRDefault="00863E62" w:rsidP="00784A94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3</w:t>
            </w:r>
          </w:p>
        </w:tc>
        <w:tc>
          <w:tcPr>
            <w:tcW w:w="3441" w:type="dxa"/>
            <w:vAlign w:val="center"/>
          </w:tcPr>
          <w:p w:rsidR="00784A94" w:rsidRPr="00B962A0" w:rsidRDefault="00784A94" w:rsidP="00784A94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作業場所之地面、牆壁、天花板、支柱、屋頂、燈飾、紗門等應保持清潔、避免積水或濕滑。</w:t>
            </w:r>
          </w:p>
        </w:tc>
        <w:tc>
          <w:tcPr>
            <w:tcW w:w="2522" w:type="dxa"/>
          </w:tcPr>
          <w:p w:rsidR="00784A94" w:rsidRPr="00B962A0" w:rsidRDefault="00784A94" w:rsidP="00784A9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784A94" w:rsidRPr="00B962A0" w:rsidRDefault="00784A94" w:rsidP="00784A94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  <w:tc>
          <w:tcPr>
            <w:tcW w:w="2552" w:type="dxa"/>
          </w:tcPr>
          <w:p w:rsidR="00784A94" w:rsidRPr="00B962A0" w:rsidRDefault="00784A94" w:rsidP="00784A9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784A94" w:rsidRPr="00B962A0" w:rsidRDefault="00784A94" w:rsidP="00784A94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</w:tr>
      <w:tr w:rsidR="00B962A0" w:rsidRPr="00B962A0" w:rsidTr="00024E94">
        <w:trPr>
          <w:cantSplit/>
          <w:trHeight w:val="349"/>
          <w:jc w:val="center"/>
        </w:trPr>
        <w:tc>
          <w:tcPr>
            <w:tcW w:w="846" w:type="dxa"/>
            <w:vMerge/>
          </w:tcPr>
          <w:p w:rsidR="00784A94" w:rsidRPr="00B962A0" w:rsidRDefault="00784A94" w:rsidP="00784A94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784A94" w:rsidRPr="00B962A0" w:rsidRDefault="00863E62" w:rsidP="00784A94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4</w:t>
            </w:r>
          </w:p>
        </w:tc>
        <w:tc>
          <w:tcPr>
            <w:tcW w:w="3441" w:type="dxa"/>
            <w:vAlign w:val="center"/>
          </w:tcPr>
          <w:p w:rsidR="00784A94" w:rsidRPr="00B962A0" w:rsidRDefault="00784A94" w:rsidP="00784A94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作業場所排水設施須通暢，應</w:t>
            </w:r>
            <w:proofErr w:type="gramStart"/>
            <w:r w:rsidRPr="00B962A0">
              <w:rPr>
                <w:rFonts w:ascii="Times New Roman" w:eastAsia="標楷體" w:hAnsi="Times New Roman" w:cs="Times New Roman"/>
                <w:szCs w:val="24"/>
              </w:rPr>
              <w:t>有截油</w:t>
            </w:r>
            <w:proofErr w:type="gramEnd"/>
            <w:r w:rsidRPr="00B962A0">
              <w:rPr>
                <w:rFonts w:ascii="Times New Roman" w:eastAsia="標楷體" w:hAnsi="Times New Roman" w:cs="Times New Roman"/>
                <w:szCs w:val="24"/>
              </w:rPr>
              <w:t>設備及防治病媒入侵之設施；</w:t>
            </w:r>
            <w:proofErr w:type="gramStart"/>
            <w:r w:rsidRPr="00B962A0">
              <w:rPr>
                <w:rFonts w:ascii="Times New Roman" w:eastAsia="標楷體" w:hAnsi="Times New Roman" w:cs="Times New Roman"/>
                <w:szCs w:val="24"/>
              </w:rPr>
              <w:t>截油設施</w:t>
            </w:r>
            <w:proofErr w:type="gramEnd"/>
            <w:r w:rsidRPr="00B962A0">
              <w:rPr>
                <w:rFonts w:ascii="Times New Roman" w:eastAsia="標楷體" w:hAnsi="Times New Roman" w:cs="Times New Roman"/>
                <w:szCs w:val="24"/>
              </w:rPr>
              <w:t>應經常清理維持清潔。</w:t>
            </w:r>
          </w:p>
        </w:tc>
        <w:tc>
          <w:tcPr>
            <w:tcW w:w="2522" w:type="dxa"/>
          </w:tcPr>
          <w:p w:rsidR="00784A94" w:rsidRPr="00B962A0" w:rsidRDefault="00784A94" w:rsidP="00784A9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784A94" w:rsidRPr="00B962A0" w:rsidRDefault="00784A94" w:rsidP="00784A94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  <w:tc>
          <w:tcPr>
            <w:tcW w:w="2552" w:type="dxa"/>
          </w:tcPr>
          <w:p w:rsidR="00784A94" w:rsidRPr="00B962A0" w:rsidRDefault="00784A94" w:rsidP="00784A9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784A94" w:rsidRPr="00B962A0" w:rsidRDefault="00784A94" w:rsidP="00784A94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</w:tr>
      <w:tr w:rsidR="00B962A0" w:rsidRPr="00B962A0" w:rsidTr="00024E94">
        <w:trPr>
          <w:cantSplit/>
          <w:trHeight w:val="347"/>
          <w:jc w:val="center"/>
        </w:trPr>
        <w:tc>
          <w:tcPr>
            <w:tcW w:w="846" w:type="dxa"/>
            <w:vMerge/>
          </w:tcPr>
          <w:p w:rsidR="00784A94" w:rsidRPr="00B962A0" w:rsidRDefault="00784A94" w:rsidP="00784A94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784A94" w:rsidRPr="00B962A0" w:rsidRDefault="00863E62" w:rsidP="00784A94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5</w:t>
            </w:r>
          </w:p>
        </w:tc>
        <w:tc>
          <w:tcPr>
            <w:tcW w:w="3441" w:type="dxa"/>
            <w:vAlign w:val="center"/>
          </w:tcPr>
          <w:p w:rsidR="00784A94" w:rsidRPr="00B962A0" w:rsidRDefault="00784A94" w:rsidP="00784A94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定期確認業者每日填寫大專校院餐飲衛生管理檢查表是否落實。</w:t>
            </w:r>
          </w:p>
        </w:tc>
        <w:tc>
          <w:tcPr>
            <w:tcW w:w="2522" w:type="dxa"/>
          </w:tcPr>
          <w:p w:rsidR="00784A94" w:rsidRPr="00B962A0" w:rsidRDefault="00784A94" w:rsidP="00784A9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784A94" w:rsidRPr="00B962A0" w:rsidRDefault="00784A94" w:rsidP="00784A94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  <w:tc>
          <w:tcPr>
            <w:tcW w:w="2552" w:type="dxa"/>
          </w:tcPr>
          <w:p w:rsidR="00784A94" w:rsidRPr="00B962A0" w:rsidRDefault="00784A94" w:rsidP="00784A9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784A94" w:rsidRPr="00B962A0" w:rsidRDefault="00784A94" w:rsidP="00784A94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</w:tr>
      <w:tr w:rsidR="00B962A0" w:rsidRPr="00B962A0" w:rsidTr="00024E94">
        <w:trPr>
          <w:cantSplit/>
          <w:trHeight w:val="347"/>
          <w:jc w:val="center"/>
        </w:trPr>
        <w:tc>
          <w:tcPr>
            <w:tcW w:w="846" w:type="dxa"/>
            <w:vMerge w:val="restart"/>
          </w:tcPr>
          <w:p w:rsidR="00513471" w:rsidRPr="00B962A0" w:rsidRDefault="00513471" w:rsidP="00784A94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從業人員衛生管理</w:t>
            </w:r>
          </w:p>
        </w:tc>
        <w:tc>
          <w:tcPr>
            <w:tcW w:w="699" w:type="dxa"/>
            <w:vAlign w:val="center"/>
          </w:tcPr>
          <w:p w:rsidR="00513471" w:rsidRPr="00B962A0" w:rsidRDefault="00863E62" w:rsidP="00784A94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6</w:t>
            </w:r>
          </w:p>
          <w:p w:rsidR="00513471" w:rsidRPr="00B962A0" w:rsidRDefault="00513471" w:rsidP="00784A94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Segoe UI Symbol" w:eastAsia="新細明體" w:hAnsi="Segoe UI Symbol" w:cs="Segoe UI Symbol"/>
                <w:szCs w:val="24"/>
                <w:u w:val="single"/>
              </w:rPr>
              <w:t>★</w:t>
            </w:r>
          </w:p>
        </w:tc>
        <w:tc>
          <w:tcPr>
            <w:tcW w:w="3441" w:type="dxa"/>
            <w:vAlign w:val="center"/>
          </w:tcPr>
          <w:p w:rsidR="00513471" w:rsidRPr="00B962A0" w:rsidRDefault="00513471" w:rsidP="00784A94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從業人員應健康檢查，檢查項目：肺結核、手部皮膚病、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A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型肝炎、傷寒、出疹、膿瘡、外傷、眼疾等；從業期間每年健康檢查一次，並保有完整紀錄。</w:t>
            </w:r>
          </w:p>
        </w:tc>
        <w:tc>
          <w:tcPr>
            <w:tcW w:w="2522" w:type="dxa"/>
          </w:tcPr>
          <w:p w:rsidR="00513471" w:rsidRPr="00B962A0" w:rsidRDefault="00513471" w:rsidP="00784A9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513471" w:rsidRPr="00B962A0" w:rsidRDefault="00513471" w:rsidP="00784A94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  <w:tc>
          <w:tcPr>
            <w:tcW w:w="2552" w:type="dxa"/>
          </w:tcPr>
          <w:p w:rsidR="00513471" w:rsidRPr="00B962A0" w:rsidRDefault="00513471" w:rsidP="00784A9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513471" w:rsidRPr="00B962A0" w:rsidRDefault="00513471" w:rsidP="00784A94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</w:tr>
      <w:tr w:rsidR="00B962A0" w:rsidRPr="00B962A0" w:rsidTr="00024E94">
        <w:trPr>
          <w:cantSplit/>
          <w:trHeight w:val="698"/>
          <w:jc w:val="center"/>
        </w:trPr>
        <w:tc>
          <w:tcPr>
            <w:tcW w:w="846" w:type="dxa"/>
            <w:vMerge/>
          </w:tcPr>
          <w:p w:rsidR="00513471" w:rsidRPr="00B962A0" w:rsidRDefault="00513471" w:rsidP="00784A94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513471" w:rsidRPr="00B962A0" w:rsidRDefault="00863E62" w:rsidP="00784A94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7</w:t>
            </w:r>
          </w:p>
          <w:p w:rsidR="00513471" w:rsidRPr="00B962A0" w:rsidRDefault="00513471" w:rsidP="00784A94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Segoe UI Symbol" w:eastAsia="新細明體" w:hAnsi="Segoe UI Symbol" w:cs="Segoe UI Symbol"/>
                <w:szCs w:val="24"/>
                <w:u w:val="single"/>
              </w:rPr>
              <w:t>★</w:t>
            </w:r>
          </w:p>
        </w:tc>
        <w:tc>
          <w:tcPr>
            <w:tcW w:w="3441" w:type="dxa"/>
            <w:vAlign w:val="center"/>
          </w:tcPr>
          <w:p w:rsidR="00513471" w:rsidRPr="00B962A0" w:rsidRDefault="00513471" w:rsidP="00784A94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從業人員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1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年應至少受訓衛生講習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8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小時。</w:t>
            </w:r>
          </w:p>
        </w:tc>
        <w:tc>
          <w:tcPr>
            <w:tcW w:w="2522" w:type="dxa"/>
          </w:tcPr>
          <w:p w:rsidR="00513471" w:rsidRPr="00B962A0" w:rsidRDefault="00513471" w:rsidP="00784A9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513471" w:rsidRPr="00B962A0" w:rsidRDefault="00513471" w:rsidP="00784A94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  <w:tc>
          <w:tcPr>
            <w:tcW w:w="2552" w:type="dxa"/>
          </w:tcPr>
          <w:p w:rsidR="00513471" w:rsidRPr="00B962A0" w:rsidRDefault="00513471" w:rsidP="00784A9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513471" w:rsidRPr="00B962A0" w:rsidRDefault="00513471" w:rsidP="00784A94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</w:tr>
      <w:tr w:rsidR="00B962A0" w:rsidRPr="00B962A0" w:rsidTr="00024E94">
        <w:trPr>
          <w:cantSplit/>
          <w:trHeight w:val="698"/>
          <w:jc w:val="center"/>
        </w:trPr>
        <w:tc>
          <w:tcPr>
            <w:tcW w:w="846" w:type="dxa"/>
            <w:vMerge/>
          </w:tcPr>
          <w:p w:rsidR="00513471" w:rsidRPr="00B962A0" w:rsidRDefault="00513471" w:rsidP="00513471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513471" w:rsidRPr="00B962A0" w:rsidRDefault="00863E62" w:rsidP="00513471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8</w:t>
            </w:r>
          </w:p>
        </w:tc>
        <w:tc>
          <w:tcPr>
            <w:tcW w:w="3441" w:type="dxa"/>
            <w:vAlign w:val="center"/>
          </w:tcPr>
          <w:p w:rsidR="00513471" w:rsidRPr="00B962A0" w:rsidRDefault="00513471" w:rsidP="00513471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從業人員應穿戴整齊清潔的工作衣帽，頭髮需有效覆蓋</w:t>
            </w:r>
            <w:proofErr w:type="gramStart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或戴網帽</w:t>
            </w:r>
            <w:proofErr w:type="gramEnd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。</w:t>
            </w:r>
          </w:p>
        </w:tc>
        <w:tc>
          <w:tcPr>
            <w:tcW w:w="2522" w:type="dxa"/>
          </w:tcPr>
          <w:p w:rsidR="00513471" w:rsidRPr="00B962A0" w:rsidRDefault="00513471" w:rsidP="00513471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513471" w:rsidRPr="00B962A0" w:rsidRDefault="00513471" w:rsidP="00513471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  <w:tc>
          <w:tcPr>
            <w:tcW w:w="2552" w:type="dxa"/>
          </w:tcPr>
          <w:p w:rsidR="00513471" w:rsidRPr="00B962A0" w:rsidRDefault="00513471" w:rsidP="00513471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513471" w:rsidRPr="00B962A0" w:rsidRDefault="00513471" w:rsidP="00513471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</w:tr>
      <w:tr w:rsidR="00B962A0" w:rsidRPr="00B962A0" w:rsidTr="00024E94">
        <w:trPr>
          <w:cantSplit/>
          <w:trHeight w:val="139"/>
          <w:jc w:val="center"/>
        </w:trPr>
        <w:tc>
          <w:tcPr>
            <w:tcW w:w="846" w:type="dxa"/>
            <w:vMerge w:val="restart"/>
          </w:tcPr>
          <w:p w:rsidR="003800D3" w:rsidRPr="00B962A0" w:rsidRDefault="003800D3" w:rsidP="00513471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用水衛生與洗手及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lastRenderedPageBreak/>
              <w:t>其設備的管理</w:t>
            </w:r>
          </w:p>
        </w:tc>
        <w:tc>
          <w:tcPr>
            <w:tcW w:w="699" w:type="dxa"/>
            <w:vAlign w:val="center"/>
          </w:tcPr>
          <w:p w:rsidR="003800D3" w:rsidRPr="00B962A0" w:rsidRDefault="00863E62" w:rsidP="00513471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lastRenderedPageBreak/>
              <w:t>9</w:t>
            </w:r>
          </w:p>
        </w:tc>
        <w:tc>
          <w:tcPr>
            <w:tcW w:w="3441" w:type="dxa"/>
            <w:vAlign w:val="center"/>
          </w:tcPr>
          <w:p w:rsidR="003800D3" w:rsidRPr="00B962A0" w:rsidRDefault="003800D3" w:rsidP="00513471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作業場所應於適當處所設洗手相關設備，其設施須適當的維護及可用。</w:t>
            </w:r>
          </w:p>
        </w:tc>
        <w:tc>
          <w:tcPr>
            <w:tcW w:w="2522" w:type="dxa"/>
          </w:tcPr>
          <w:p w:rsidR="003800D3" w:rsidRPr="00B962A0" w:rsidRDefault="003800D3" w:rsidP="0051347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3800D3" w:rsidRPr="00B962A0" w:rsidRDefault="003800D3" w:rsidP="00513471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  <w:tc>
          <w:tcPr>
            <w:tcW w:w="2552" w:type="dxa"/>
          </w:tcPr>
          <w:p w:rsidR="003800D3" w:rsidRPr="00B962A0" w:rsidRDefault="003800D3" w:rsidP="0051347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3800D3" w:rsidRPr="00B962A0" w:rsidRDefault="003800D3" w:rsidP="00513471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</w:tr>
      <w:tr w:rsidR="00B962A0" w:rsidRPr="00B962A0" w:rsidTr="00024E94">
        <w:trPr>
          <w:cantSplit/>
          <w:trHeight w:val="139"/>
          <w:jc w:val="center"/>
        </w:trPr>
        <w:tc>
          <w:tcPr>
            <w:tcW w:w="846" w:type="dxa"/>
            <w:vMerge/>
          </w:tcPr>
          <w:p w:rsidR="003800D3" w:rsidRPr="00B962A0" w:rsidRDefault="003800D3" w:rsidP="00D2451F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3800D3" w:rsidRPr="00B962A0" w:rsidRDefault="00863E62" w:rsidP="00D2451F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10</w:t>
            </w:r>
          </w:p>
        </w:tc>
        <w:tc>
          <w:tcPr>
            <w:tcW w:w="3441" w:type="dxa"/>
            <w:vAlign w:val="center"/>
          </w:tcPr>
          <w:p w:rsidR="003800D3" w:rsidRPr="00B962A0" w:rsidRDefault="003800D3" w:rsidP="00D2451F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洗手處所應有標示</w:t>
            </w:r>
            <w:proofErr w:type="gramStart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洗手醒語或</w:t>
            </w:r>
            <w:proofErr w:type="gramEnd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圖示，從業人員要遵守正確洗手之步驟，從手指、手掌到手腕確實清洗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(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包括可能碰觸到食物的地方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)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。</w:t>
            </w:r>
          </w:p>
        </w:tc>
        <w:tc>
          <w:tcPr>
            <w:tcW w:w="2522" w:type="dxa"/>
          </w:tcPr>
          <w:p w:rsidR="003800D3" w:rsidRPr="00B962A0" w:rsidRDefault="003800D3" w:rsidP="00D2451F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3800D3" w:rsidRPr="00B962A0" w:rsidRDefault="003800D3" w:rsidP="00D2451F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  <w:tc>
          <w:tcPr>
            <w:tcW w:w="2552" w:type="dxa"/>
          </w:tcPr>
          <w:p w:rsidR="003800D3" w:rsidRPr="00B962A0" w:rsidRDefault="003800D3" w:rsidP="00D2451F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3800D3" w:rsidRPr="00B962A0" w:rsidRDefault="003800D3" w:rsidP="00D2451F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</w:tr>
      <w:tr w:rsidR="00B962A0" w:rsidRPr="00B962A0" w:rsidTr="00024E94">
        <w:trPr>
          <w:cantSplit/>
          <w:trHeight w:val="335"/>
          <w:jc w:val="center"/>
        </w:trPr>
        <w:tc>
          <w:tcPr>
            <w:tcW w:w="846" w:type="dxa"/>
            <w:vMerge w:val="restart"/>
          </w:tcPr>
          <w:p w:rsidR="00863E62" w:rsidRPr="00B962A0" w:rsidRDefault="00863E62" w:rsidP="00D2451F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lastRenderedPageBreak/>
              <w:t>食品及其原料之採購、驗收、處理及貯存</w:t>
            </w:r>
          </w:p>
        </w:tc>
        <w:tc>
          <w:tcPr>
            <w:tcW w:w="699" w:type="dxa"/>
            <w:vAlign w:val="center"/>
          </w:tcPr>
          <w:p w:rsidR="00863E62" w:rsidRPr="00B962A0" w:rsidRDefault="00863E62" w:rsidP="00D2451F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11</w:t>
            </w:r>
          </w:p>
        </w:tc>
        <w:tc>
          <w:tcPr>
            <w:tcW w:w="3441" w:type="dxa"/>
            <w:vAlign w:val="center"/>
          </w:tcPr>
          <w:p w:rsidR="00863E62" w:rsidRPr="00B962A0" w:rsidRDefault="00863E62" w:rsidP="00D2451F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食品需有驗收紀錄：包裝食品應有完整包裝及明確標示，須符合相關規定。散裝食品之驗收紀錄需包括進貨廠商或購置來源、產品名稱、進貨日期、進貨量等。</w:t>
            </w:r>
          </w:p>
        </w:tc>
        <w:tc>
          <w:tcPr>
            <w:tcW w:w="2522" w:type="dxa"/>
          </w:tcPr>
          <w:p w:rsidR="00863E62" w:rsidRPr="00B962A0" w:rsidRDefault="00863E62" w:rsidP="00D2451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863E62" w:rsidRPr="00B962A0" w:rsidRDefault="00863E62" w:rsidP="00D2451F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  <w:tc>
          <w:tcPr>
            <w:tcW w:w="2552" w:type="dxa"/>
          </w:tcPr>
          <w:p w:rsidR="00863E62" w:rsidRPr="00B962A0" w:rsidRDefault="00863E62" w:rsidP="00D2451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863E62" w:rsidRPr="00B962A0" w:rsidRDefault="00863E62" w:rsidP="00D2451F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</w:tr>
      <w:tr w:rsidR="00B962A0" w:rsidRPr="00B962A0" w:rsidTr="00024E94">
        <w:trPr>
          <w:cantSplit/>
          <w:trHeight w:val="335"/>
          <w:jc w:val="center"/>
        </w:trPr>
        <w:tc>
          <w:tcPr>
            <w:tcW w:w="846" w:type="dxa"/>
            <w:vMerge/>
          </w:tcPr>
          <w:p w:rsidR="00863E62" w:rsidRPr="00B962A0" w:rsidRDefault="00863E62" w:rsidP="00D2451F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863E62" w:rsidRPr="00B962A0" w:rsidRDefault="00863E62" w:rsidP="00D2451F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12</w:t>
            </w:r>
          </w:p>
          <w:p w:rsidR="00863E62" w:rsidRPr="00B962A0" w:rsidRDefault="00863E62" w:rsidP="00D2451F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Segoe UI Symbol" w:eastAsia="新細明體" w:hAnsi="Segoe UI Symbol" w:cs="Segoe UI Symbol"/>
                <w:szCs w:val="24"/>
                <w:u w:val="single"/>
              </w:rPr>
              <w:t>★</w:t>
            </w:r>
          </w:p>
        </w:tc>
        <w:tc>
          <w:tcPr>
            <w:tcW w:w="3441" w:type="dxa"/>
            <w:vAlign w:val="center"/>
          </w:tcPr>
          <w:p w:rsidR="00863E62" w:rsidRPr="00B962A0" w:rsidRDefault="00D8025C" w:rsidP="008903EB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禁止使用含基因改</w:t>
            </w:r>
            <w:r w:rsidR="00863E62" w:rsidRPr="00B962A0">
              <w:rPr>
                <w:rFonts w:ascii="Times New Roman" w:eastAsia="標楷體" w:hAnsi="Times New Roman" w:cs="Times New Roman"/>
                <w:szCs w:val="24"/>
              </w:rPr>
              <w:t>之生鮮食材及其初級加工品（黃豆、玉米、豆漿、豆腐、豆花、豆乾、豆皮、大豆蛋白製得之素肉等）。</w:t>
            </w:r>
          </w:p>
        </w:tc>
        <w:tc>
          <w:tcPr>
            <w:tcW w:w="2522" w:type="dxa"/>
          </w:tcPr>
          <w:p w:rsidR="00863E62" w:rsidRPr="00B962A0" w:rsidRDefault="00863E62" w:rsidP="00D2451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863E62" w:rsidRPr="00B962A0" w:rsidRDefault="00863E62" w:rsidP="00D2451F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  <w:tc>
          <w:tcPr>
            <w:tcW w:w="2552" w:type="dxa"/>
          </w:tcPr>
          <w:p w:rsidR="00863E62" w:rsidRPr="00B962A0" w:rsidRDefault="00863E62" w:rsidP="00D2451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863E62" w:rsidRPr="00B962A0" w:rsidRDefault="00863E62" w:rsidP="00D2451F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</w:tr>
      <w:tr w:rsidR="00B962A0" w:rsidRPr="00B962A0" w:rsidTr="00024E94">
        <w:trPr>
          <w:cantSplit/>
          <w:trHeight w:val="335"/>
          <w:jc w:val="center"/>
        </w:trPr>
        <w:tc>
          <w:tcPr>
            <w:tcW w:w="846" w:type="dxa"/>
            <w:vMerge/>
          </w:tcPr>
          <w:p w:rsidR="00863E62" w:rsidRPr="00B962A0" w:rsidRDefault="00863E62" w:rsidP="003800D3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863E62" w:rsidRPr="00B962A0" w:rsidRDefault="00863E62" w:rsidP="003800D3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13</w:t>
            </w:r>
          </w:p>
        </w:tc>
        <w:tc>
          <w:tcPr>
            <w:tcW w:w="3441" w:type="dxa"/>
            <w:vAlign w:val="center"/>
          </w:tcPr>
          <w:p w:rsidR="00863E62" w:rsidRPr="00B962A0" w:rsidRDefault="00863E62" w:rsidP="003800D3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冷藏食品</w:t>
            </w:r>
            <w:proofErr w:type="gramStart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品</w:t>
            </w:r>
            <w:proofErr w:type="gramEnd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溫應保持在</w:t>
            </w:r>
            <w:r w:rsidRPr="00B962A0">
              <w:rPr>
                <w:rFonts w:ascii="Times New Roman" w:eastAsia="標楷體" w:hAnsi="Times New Roman" w:cs="Times New Roman"/>
                <w:u w:val="single"/>
              </w:rPr>
              <w:t>7</w:t>
            </w:r>
            <w:r w:rsidRPr="00B962A0">
              <w:rPr>
                <w:rFonts w:ascii="新細明體" w:eastAsia="新細明體" w:hAnsi="新細明體" w:cs="新細明體" w:hint="eastAsia"/>
                <w:u w:val="single"/>
              </w:rPr>
              <w:t>℃</w:t>
            </w:r>
            <w:r w:rsidRPr="00B962A0">
              <w:rPr>
                <w:rFonts w:ascii="Times New Roman" w:eastAsia="標楷體" w:hAnsi="Times New Roman" w:cs="Times New Roman"/>
                <w:u w:val="single"/>
              </w:rPr>
              <w:t>以下，凍結點以上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，</w:t>
            </w:r>
            <w:proofErr w:type="gramStart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冷凍食品品溫應</w:t>
            </w:r>
            <w:proofErr w:type="gramEnd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保持在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-18</w:t>
            </w:r>
            <w:r w:rsidRPr="00B962A0">
              <w:rPr>
                <w:rFonts w:ascii="新細明體" w:eastAsia="新細明體" w:hAnsi="新細明體" w:cs="新細明體" w:hint="eastAsia"/>
                <w:szCs w:val="24"/>
                <w:u w:val="single"/>
              </w:rPr>
              <w:t>℃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以下。並可由冷凍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/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冷藏庫房外部檢視溫度及保持清潔。</w:t>
            </w:r>
          </w:p>
        </w:tc>
        <w:tc>
          <w:tcPr>
            <w:tcW w:w="2522" w:type="dxa"/>
          </w:tcPr>
          <w:p w:rsidR="00863E62" w:rsidRPr="00B962A0" w:rsidRDefault="00863E62" w:rsidP="003800D3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863E62" w:rsidRPr="00B962A0" w:rsidRDefault="00863E62" w:rsidP="003800D3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  <w:tc>
          <w:tcPr>
            <w:tcW w:w="2552" w:type="dxa"/>
          </w:tcPr>
          <w:p w:rsidR="00863E62" w:rsidRPr="00B962A0" w:rsidRDefault="00863E62" w:rsidP="003800D3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863E62" w:rsidRPr="00B962A0" w:rsidRDefault="00863E62" w:rsidP="003800D3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</w:tr>
      <w:tr w:rsidR="00B962A0" w:rsidRPr="00B962A0" w:rsidTr="00024E94">
        <w:trPr>
          <w:cantSplit/>
          <w:trHeight w:val="335"/>
          <w:jc w:val="center"/>
        </w:trPr>
        <w:tc>
          <w:tcPr>
            <w:tcW w:w="846" w:type="dxa"/>
            <w:vMerge/>
          </w:tcPr>
          <w:p w:rsidR="00863E62" w:rsidRPr="00B962A0" w:rsidRDefault="00863E62" w:rsidP="003800D3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863E62" w:rsidRPr="00B962A0" w:rsidRDefault="00863E62" w:rsidP="003800D3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14</w:t>
            </w:r>
          </w:p>
        </w:tc>
        <w:tc>
          <w:tcPr>
            <w:tcW w:w="3441" w:type="dxa"/>
            <w:vAlign w:val="center"/>
          </w:tcPr>
          <w:p w:rsidR="00863E62" w:rsidRPr="00B962A0" w:rsidRDefault="00863E62" w:rsidP="003800D3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冷凍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/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冷藏庫房</w:t>
            </w:r>
            <w:proofErr w:type="gramStart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應設層架</w:t>
            </w:r>
            <w:proofErr w:type="gramEnd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管理，食品、半成品、生熟食等應分類、分區，離地離牆存放且先進先出。</w:t>
            </w:r>
          </w:p>
        </w:tc>
        <w:tc>
          <w:tcPr>
            <w:tcW w:w="2522" w:type="dxa"/>
          </w:tcPr>
          <w:p w:rsidR="00863E62" w:rsidRPr="00B962A0" w:rsidRDefault="00863E62" w:rsidP="003800D3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863E62" w:rsidRPr="00B962A0" w:rsidRDefault="00863E62" w:rsidP="003800D3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  <w:tc>
          <w:tcPr>
            <w:tcW w:w="2552" w:type="dxa"/>
          </w:tcPr>
          <w:p w:rsidR="00863E62" w:rsidRPr="00B962A0" w:rsidRDefault="00863E62" w:rsidP="003800D3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863E62" w:rsidRPr="00B962A0" w:rsidRDefault="00863E62" w:rsidP="003800D3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</w:tr>
      <w:tr w:rsidR="00B962A0" w:rsidRPr="00B962A0" w:rsidTr="00024E94">
        <w:trPr>
          <w:cantSplit/>
          <w:trHeight w:val="335"/>
          <w:jc w:val="center"/>
        </w:trPr>
        <w:tc>
          <w:tcPr>
            <w:tcW w:w="846" w:type="dxa"/>
            <w:vMerge/>
          </w:tcPr>
          <w:p w:rsidR="00863E62" w:rsidRPr="00B962A0" w:rsidRDefault="00863E62" w:rsidP="003800D3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863E62" w:rsidRPr="00B962A0" w:rsidRDefault="00863E62" w:rsidP="003800D3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15</w:t>
            </w:r>
          </w:p>
        </w:tc>
        <w:tc>
          <w:tcPr>
            <w:tcW w:w="3441" w:type="dxa"/>
            <w:vAlign w:val="center"/>
          </w:tcPr>
          <w:p w:rsidR="00863E62" w:rsidRPr="00B962A0" w:rsidRDefault="00863E62" w:rsidP="003800D3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冷凍食品解凍方式及條件應正確，避免暴露於室溫下解凍，食物解凍及處理應避免與其他食品交叉污染。</w:t>
            </w:r>
          </w:p>
        </w:tc>
        <w:tc>
          <w:tcPr>
            <w:tcW w:w="2522" w:type="dxa"/>
          </w:tcPr>
          <w:p w:rsidR="00863E62" w:rsidRPr="00B962A0" w:rsidRDefault="00863E62" w:rsidP="003800D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863E62" w:rsidRPr="00B962A0" w:rsidRDefault="00863E62" w:rsidP="003800D3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  <w:tc>
          <w:tcPr>
            <w:tcW w:w="2552" w:type="dxa"/>
          </w:tcPr>
          <w:p w:rsidR="00863E62" w:rsidRPr="00B962A0" w:rsidRDefault="00863E62" w:rsidP="003800D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863E62" w:rsidRPr="00B962A0" w:rsidRDefault="00863E62" w:rsidP="003800D3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</w:tr>
      <w:tr w:rsidR="00B962A0" w:rsidRPr="00B962A0" w:rsidTr="00024E94">
        <w:trPr>
          <w:cantSplit/>
          <w:trHeight w:val="335"/>
          <w:jc w:val="center"/>
        </w:trPr>
        <w:tc>
          <w:tcPr>
            <w:tcW w:w="846" w:type="dxa"/>
            <w:vMerge/>
          </w:tcPr>
          <w:p w:rsidR="00863E62" w:rsidRPr="00B962A0" w:rsidRDefault="00863E62" w:rsidP="00964ACD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863E62" w:rsidRPr="00B962A0" w:rsidRDefault="00863E62" w:rsidP="00964ACD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16</w:t>
            </w:r>
          </w:p>
        </w:tc>
        <w:tc>
          <w:tcPr>
            <w:tcW w:w="3441" w:type="dxa"/>
            <w:vAlign w:val="center"/>
          </w:tcPr>
          <w:p w:rsidR="00863E62" w:rsidRPr="00B962A0" w:rsidRDefault="00863E62" w:rsidP="00964ACD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前處理完成備用的食品及半成品應妥善放置，</w:t>
            </w:r>
            <w:proofErr w:type="gramStart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食材應完整</w:t>
            </w:r>
            <w:proofErr w:type="gramEnd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包裝，避免交叉污染。</w:t>
            </w:r>
          </w:p>
        </w:tc>
        <w:tc>
          <w:tcPr>
            <w:tcW w:w="2522" w:type="dxa"/>
          </w:tcPr>
          <w:p w:rsidR="00863E62" w:rsidRPr="00B962A0" w:rsidRDefault="00863E62" w:rsidP="00964ACD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863E62" w:rsidRPr="00B962A0" w:rsidRDefault="00863E62" w:rsidP="00964ACD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  <w:tc>
          <w:tcPr>
            <w:tcW w:w="2552" w:type="dxa"/>
          </w:tcPr>
          <w:p w:rsidR="00863E62" w:rsidRPr="00B962A0" w:rsidRDefault="00863E62" w:rsidP="00964ACD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863E62" w:rsidRPr="00B962A0" w:rsidRDefault="00863E62" w:rsidP="00964ACD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</w:tr>
      <w:tr w:rsidR="00B962A0" w:rsidRPr="00B962A0" w:rsidTr="00024E94">
        <w:trPr>
          <w:trHeight w:val="335"/>
          <w:jc w:val="center"/>
        </w:trPr>
        <w:tc>
          <w:tcPr>
            <w:tcW w:w="846" w:type="dxa"/>
            <w:vMerge w:val="restart"/>
          </w:tcPr>
          <w:p w:rsidR="006B5777" w:rsidRPr="00B962A0" w:rsidRDefault="006B5777" w:rsidP="00964ACD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食品烹調與製備的衛生管理</w:t>
            </w:r>
          </w:p>
        </w:tc>
        <w:tc>
          <w:tcPr>
            <w:tcW w:w="699" w:type="dxa"/>
            <w:vAlign w:val="center"/>
          </w:tcPr>
          <w:p w:rsidR="006B5777" w:rsidRPr="00B962A0" w:rsidRDefault="006B5777" w:rsidP="00964ACD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17</w:t>
            </w:r>
          </w:p>
        </w:tc>
        <w:tc>
          <w:tcPr>
            <w:tcW w:w="3441" w:type="dxa"/>
            <w:vAlign w:val="center"/>
          </w:tcPr>
          <w:p w:rsidR="006B5777" w:rsidRPr="00B962A0" w:rsidRDefault="006B5777" w:rsidP="00964ACD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食物製備使用之器具、設備應隨時保持清潔及定期消毒。毛巾、抹布及餐具宜每天消毒。</w:t>
            </w:r>
          </w:p>
        </w:tc>
        <w:tc>
          <w:tcPr>
            <w:tcW w:w="2522" w:type="dxa"/>
          </w:tcPr>
          <w:p w:rsidR="006B5777" w:rsidRPr="00B962A0" w:rsidRDefault="006B5777" w:rsidP="00964AC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6B5777" w:rsidRPr="00B962A0" w:rsidRDefault="006B5777" w:rsidP="00964ACD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  <w:tc>
          <w:tcPr>
            <w:tcW w:w="2552" w:type="dxa"/>
          </w:tcPr>
          <w:p w:rsidR="006B5777" w:rsidRPr="00B962A0" w:rsidRDefault="006B5777" w:rsidP="00964AC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6B5777" w:rsidRPr="00B962A0" w:rsidRDefault="006B5777" w:rsidP="00964ACD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</w:tr>
      <w:tr w:rsidR="00B962A0" w:rsidRPr="00B962A0" w:rsidTr="00024E94">
        <w:trPr>
          <w:trHeight w:val="335"/>
          <w:jc w:val="center"/>
        </w:trPr>
        <w:tc>
          <w:tcPr>
            <w:tcW w:w="846" w:type="dxa"/>
            <w:vMerge/>
          </w:tcPr>
          <w:p w:rsidR="006B5777" w:rsidRPr="00B962A0" w:rsidRDefault="006B5777" w:rsidP="00964ACD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6B5777" w:rsidRPr="00B962A0" w:rsidRDefault="006B5777" w:rsidP="00964ACD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18</w:t>
            </w:r>
          </w:p>
        </w:tc>
        <w:tc>
          <w:tcPr>
            <w:tcW w:w="3441" w:type="dxa"/>
            <w:vAlign w:val="center"/>
          </w:tcPr>
          <w:p w:rsidR="006B5777" w:rsidRPr="00B962A0" w:rsidRDefault="006B5777" w:rsidP="00964ACD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盛裝生食與熟食之容器應明顯區分，防止生熟食交叉污染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烹調完成之菜餚不可受污染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。</w:t>
            </w:r>
          </w:p>
        </w:tc>
        <w:tc>
          <w:tcPr>
            <w:tcW w:w="2522" w:type="dxa"/>
          </w:tcPr>
          <w:p w:rsidR="006B5777" w:rsidRPr="00B962A0" w:rsidRDefault="006B5777" w:rsidP="00964AC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6B5777" w:rsidRPr="00B962A0" w:rsidRDefault="006B5777" w:rsidP="00964ACD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  <w:tc>
          <w:tcPr>
            <w:tcW w:w="2552" w:type="dxa"/>
          </w:tcPr>
          <w:p w:rsidR="006B5777" w:rsidRPr="00B962A0" w:rsidRDefault="006B5777" w:rsidP="00964AC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6B5777" w:rsidRPr="00B962A0" w:rsidRDefault="006B5777" w:rsidP="00964ACD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</w:tr>
      <w:tr w:rsidR="00B962A0" w:rsidRPr="00B962A0" w:rsidTr="00024E94">
        <w:trPr>
          <w:trHeight w:val="363"/>
          <w:jc w:val="center"/>
        </w:trPr>
        <w:tc>
          <w:tcPr>
            <w:tcW w:w="846" w:type="dxa"/>
            <w:vMerge/>
          </w:tcPr>
          <w:p w:rsidR="006B5777" w:rsidRPr="00B962A0" w:rsidRDefault="006B5777" w:rsidP="00964ACD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6B5777" w:rsidRPr="00B962A0" w:rsidRDefault="006B5777" w:rsidP="00964ACD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19</w:t>
            </w:r>
          </w:p>
        </w:tc>
        <w:tc>
          <w:tcPr>
            <w:tcW w:w="3441" w:type="dxa"/>
            <w:vAlign w:val="center"/>
          </w:tcPr>
          <w:p w:rsidR="006B5777" w:rsidRPr="00B962A0" w:rsidRDefault="006B5777" w:rsidP="00964ACD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切割生、熟食的刀具及砧板應至少兩套以上，並分開使用與管理，防止生熟食交叉污染，切割熟食品時應戴乾淨手套與口罩。切割不再加熱即可食用之蔬果必須使用非木質砧板。</w:t>
            </w:r>
          </w:p>
        </w:tc>
        <w:tc>
          <w:tcPr>
            <w:tcW w:w="2522" w:type="dxa"/>
          </w:tcPr>
          <w:p w:rsidR="006B5777" w:rsidRPr="00B962A0" w:rsidRDefault="006B5777" w:rsidP="00964AC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6B5777" w:rsidRPr="00B962A0" w:rsidRDefault="006B5777" w:rsidP="00964ACD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  <w:tc>
          <w:tcPr>
            <w:tcW w:w="2552" w:type="dxa"/>
          </w:tcPr>
          <w:p w:rsidR="006B5777" w:rsidRPr="00B962A0" w:rsidRDefault="006B5777" w:rsidP="00964AC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6B5777" w:rsidRPr="00B962A0" w:rsidRDefault="006B5777" w:rsidP="00964ACD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</w:tr>
      <w:tr w:rsidR="00B962A0" w:rsidRPr="00B962A0" w:rsidTr="00024E94">
        <w:trPr>
          <w:trHeight w:val="363"/>
          <w:jc w:val="center"/>
        </w:trPr>
        <w:tc>
          <w:tcPr>
            <w:tcW w:w="846" w:type="dxa"/>
            <w:vMerge/>
          </w:tcPr>
          <w:p w:rsidR="006B5777" w:rsidRPr="00B962A0" w:rsidRDefault="006B5777" w:rsidP="00E1768C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6B5777" w:rsidRPr="00B962A0" w:rsidRDefault="006B5777" w:rsidP="00E1768C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20</w:t>
            </w:r>
          </w:p>
        </w:tc>
        <w:tc>
          <w:tcPr>
            <w:tcW w:w="3441" w:type="dxa"/>
            <w:vAlign w:val="center"/>
          </w:tcPr>
          <w:p w:rsidR="006B5777" w:rsidRPr="00B962A0" w:rsidRDefault="006B5777" w:rsidP="00E1768C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刀具及砧板使用後應確實洗淨殺菌，並不得有裂縫，不用</w:t>
            </w:r>
            <w:proofErr w:type="gramStart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時應側放</w:t>
            </w:r>
            <w:proofErr w:type="gramEnd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或懸掛以保持乾燥。</w:t>
            </w:r>
          </w:p>
        </w:tc>
        <w:tc>
          <w:tcPr>
            <w:tcW w:w="2522" w:type="dxa"/>
          </w:tcPr>
          <w:p w:rsidR="006B5777" w:rsidRPr="00B962A0" w:rsidRDefault="006B5777" w:rsidP="00E1768C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6B5777" w:rsidRPr="00B962A0" w:rsidRDefault="006B5777" w:rsidP="00E1768C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  <w:tc>
          <w:tcPr>
            <w:tcW w:w="2552" w:type="dxa"/>
          </w:tcPr>
          <w:p w:rsidR="006B5777" w:rsidRPr="00B962A0" w:rsidRDefault="006B5777" w:rsidP="00E1768C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6B5777" w:rsidRPr="00B962A0" w:rsidRDefault="006B5777" w:rsidP="00E1768C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</w:tr>
      <w:tr w:rsidR="00B962A0" w:rsidRPr="00B962A0" w:rsidTr="00024E94">
        <w:trPr>
          <w:trHeight w:val="363"/>
          <w:jc w:val="center"/>
        </w:trPr>
        <w:tc>
          <w:tcPr>
            <w:tcW w:w="846" w:type="dxa"/>
            <w:vMerge/>
          </w:tcPr>
          <w:p w:rsidR="006B5777" w:rsidRPr="00B962A0" w:rsidRDefault="006B5777" w:rsidP="00E1768C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6B5777" w:rsidRPr="00B962A0" w:rsidRDefault="006B5777" w:rsidP="00863E62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21</w:t>
            </w:r>
          </w:p>
        </w:tc>
        <w:tc>
          <w:tcPr>
            <w:tcW w:w="3441" w:type="dxa"/>
            <w:vAlign w:val="center"/>
          </w:tcPr>
          <w:p w:rsidR="006B5777" w:rsidRPr="00B962A0" w:rsidRDefault="006B5777" w:rsidP="00E1768C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備料區及烹調區應隨時保持清潔，避免太多食物殘渣、垃圾等留置工作</w:t>
            </w:r>
            <w:proofErr w:type="gramStart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檯</w:t>
            </w:r>
            <w:proofErr w:type="gramEnd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上及地面。</w:t>
            </w:r>
          </w:p>
        </w:tc>
        <w:tc>
          <w:tcPr>
            <w:tcW w:w="2522" w:type="dxa"/>
          </w:tcPr>
          <w:p w:rsidR="006B5777" w:rsidRPr="00B962A0" w:rsidRDefault="006B5777" w:rsidP="00E1768C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6B5777" w:rsidRPr="00B962A0" w:rsidRDefault="006B5777" w:rsidP="00E1768C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  <w:tc>
          <w:tcPr>
            <w:tcW w:w="2552" w:type="dxa"/>
          </w:tcPr>
          <w:p w:rsidR="006B5777" w:rsidRPr="00B962A0" w:rsidRDefault="006B5777" w:rsidP="00E1768C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6B5777" w:rsidRPr="00B962A0" w:rsidRDefault="006B5777" w:rsidP="00E1768C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</w:tr>
      <w:tr w:rsidR="00B962A0" w:rsidRPr="00B962A0" w:rsidTr="00024E94">
        <w:trPr>
          <w:trHeight w:val="363"/>
          <w:jc w:val="center"/>
        </w:trPr>
        <w:tc>
          <w:tcPr>
            <w:tcW w:w="846" w:type="dxa"/>
            <w:vMerge/>
          </w:tcPr>
          <w:p w:rsidR="006B5777" w:rsidRPr="00B962A0" w:rsidRDefault="006B5777" w:rsidP="00011D7E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6B5777" w:rsidRPr="00B962A0" w:rsidRDefault="006B5777" w:rsidP="00011D7E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22</w:t>
            </w:r>
          </w:p>
        </w:tc>
        <w:tc>
          <w:tcPr>
            <w:tcW w:w="3441" w:type="dxa"/>
            <w:vAlign w:val="center"/>
          </w:tcPr>
          <w:p w:rsidR="006B5777" w:rsidRPr="00B962A0" w:rsidRDefault="006B5777" w:rsidP="00011D7E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食用冰塊須符合衛生規定，每年至少抽驗一次。</w:t>
            </w:r>
            <w:proofErr w:type="gramStart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冰鏟不應</w:t>
            </w:r>
            <w:proofErr w:type="gramEnd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放置</w:t>
            </w:r>
            <w:proofErr w:type="gramStart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製冰機內</w:t>
            </w:r>
            <w:proofErr w:type="gramEnd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。</w:t>
            </w:r>
          </w:p>
        </w:tc>
        <w:tc>
          <w:tcPr>
            <w:tcW w:w="2522" w:type="dxa"/>
          </w:tcPr>
          <w:p w:rsidR="006B5777" w:rsidRPr="00B962A0" w:rsidRDefault="006B5777" w:rsidP="00011D7E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6B5777" w:rsidRPr="00B962A0" w:rsidRDefault="006B5777" w:rsidP="00011D7E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  <w:tc>
          <w:tcPr>
            <w:tcW w:w="2552" w:type="dxa"/>
          </w:tcPr>
          <w:p w:rsidR="006B5777" w:rsidRPr="00B962A0" w:rsidRDefault="006B5777" w:rsidP="00011D7E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6B5777" w:rsidRPr="00B962A0" w:rsidRDefault="006B5777" w:rsidP="00011D7E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</w:tr>
      <w:tr w:rsidR="00B962A0" w:rsidRPr="00B962A0" w:rsidTr="00024E94">
        <w:trPr>
          <w:trHeight w:val="363"/>
          <w:jc w:val="center"/>
        </w:trPr>
        <w:tc>
          <w:tcPr>
            <w:tcW w:w="846" w:type="dxa"/>
            <w:vMerge/>
          </w:tcPr>
          <w:p w:rsidR="006B5777" w:rsidRPr="00B962A0" w:rsidRDefault="006B5777" w:rsidP="006B5777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6B5777" w:rsidRPr="00B962A0" w:rsidRDefault="006B5777" w:rsidP="006B5777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23</w:t>
            </w:r>
          </w:p>
        </w:tc>
        <w:tc>
          <w:tcPr>
            <w:tcW w:w="3441" w:type="dxa"/>
            <w:vAlign w:val="center"/>
          </w:tcPr>
          <w:p w:rsidR="006B5777" w:rsidRPr="00B962A0" w:rsidRDefault="006B5777" w:rsidP="006B5777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備有</w:t>
            </w:r>
            <w:proofErr w:type="gramStart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更換炸油紀錄</w:t>
            </w:r>
            <w:proofErr w:type="gramEnd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表（日期及換油量），及油品質測試紀錄。</w:t>
            </w:r>
          </w:p>
        </w:tc>
        <w:tc>
          <w:tcPr>
            <w:tcW w:w="2522" w:type="dxa"/>
          </w:tcPr>
          <w:p w:rsidR="006B5777" w:rsidRPr="00B962A0" w:rsidRDefault="006B5777" w:rsidP="006B5777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6B5777" w:rsidRPr="00B962A0" w:rsidRDefault="006B5777" w:rsidP="006B5777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  <w:tc>
          <w:tcPr>
            <w:tcW w:w="2552" w:type="dxa"/>
          </w:tcPr>
          <w:p w:rsidR="006B5777" w:rsidRPr="00B962A0" w:rsidRDefault="006B5777" w:rsidP="006B5777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6B5777" w:rsidRPr="00B962A0" w:rsidRDefault="006B5777" w:rsidP="006B5777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</w:tr>
      <w:tr w:rsidR="00B962A0" w:rsidRPr="00B962A0" w:rsidTr="00024E94">
        <w:trPr>
          <w:cantSplit/>
          <w:trHeight w:val="335"/>
          <w:jc w:val="center"/>
        </w:trPr>
        <w:tc>
          <w:tcPr>
            <w:tcW w:w="846" w:type="dxa"/>
            <w:vMerge w:val="restart"/>
          </w:tcPr>
          <w:p w:rsidR="006B5777" w:rsidRPr="00B962A0" w:rsidRDefault="006B5777" w:rsidP="006B5777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B962A0">
              <w:rPr>
                <w:rFonts w:ascii="Times New Roman" w:eastAsia="標楷體" w:hAnsi="Times New Roman" w:cs="Times New Roman"/>
                <w:szCs w:val="24"/>
              </w:rPr>
              <w:t>配膳及</w:t>
            </w:r>
            <w:proofErr w:type="gramEnd"/>
            <w:r w:rsidRPr="00B962A0">
              <w:rPr>
                <w:rFonts w:ascii="Times New Roman" w:eastAsia="標楷體" w:hAnsi="Times New Roman" w:cs="Times New Roman"/>
                <w:szCs w:val="24"/>
              </w:rPr>
              <w:t>供膳的衛生管理</w:t>
            </w:r>
          </w:p>
        </w:tc>
        <w:tc>
          <w:tcPr>
            <w:tcW w:w="699" w:type="dxa"/>
            <w:vAlign w:val="center"/>
          </w:tcPr>
          <w:p w:rsidR="006B5777" w:rsidRPr="00B962A0" w:rsidRDefault="006B5777" w:rsidP="006B5777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24</w:t>
            </w:r>
          </w:p>
        </w:tc>
        <w:tc>
          <w:tcPr>
            <w:tcW w:w="3441" w:type="dxa"/>
            <w:vAlign w:val="center"/>
          </w:tcPr>
          <w:p w:rsidR="006B5777" w:rsidRPr="00B962A0" w:rsidRDefault="006B5777" w:rsidP="006B5777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proofErr w:type="gramStart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配膳區</w:t>
            </w:r>
            <w:proofErr w:type="gramEnd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應避免與食品、半成品或其它器具、容器有交叉污染之機會。</w:t>
            </w:r>
          </w:p>
        </w:tc>
        <w:tc>
          <w:tcPr>
            <w:tcW w:w="2522" w:type="dxa"/>
          </w:tcPr>
          <w:p w:rsidR="006B5777" w:rsidRPr="00B962A0" w:rsidRDefault="006B5777" w:rsidP="006B5777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6B5777" w:rsidRPr="00B962A0" w:rsidRDefault="006B5777" w:rsidP="006B5777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  <w:tc>
          <w:tcPr>
            <w:tcW w:w="2552" w:type="dxa"/>
          </w:tcPr>
          <w:p w:rsidR="006B5777" w:rsidRPr="00B962A0" w:rsidRDefault="006B5777" w:rsidP="006B5777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6B5777" w:rsidRPr="00B962A0" w:rsidRDefault="006B5777" w:rsidP="006B5777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</w:tr>
      <w:tr w:rsidR="00B962A0" w:rsidRPr="00B962A0" w:rsidTr="00024E94">
        <w:trPr>
          <w:cantSplit/>
          <w:trHeight w:val="335"/>
          <w:jc w:val="center"/>
        </w:trPr>
        <w:tc>
          <w:tcPr>
            <w:tcW w:w="846" w:type="dxa"/>
            <w:vMerge/>
          </w:tcPr>
          <w:p w:rsidR="006B5777" w:rsidRPr="00B962A0" w:rsidRDefault="006B5777" w:rsidP="006B5777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6B5777" w:rsidRPr="00B962A0" w:rsidRDefault="006B5777" w:rsidP="006B5777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25</w:t>
            </w:r>
          </w:p>
        </w:tc>
        <w:tc>
          <w:tcPr>
            <w:tcW w:w="3441" w:type="dxa"/>
            <w:vAlign w:val="center"/>
          </w:tcPr>
          <w:p w:rsidR="006B5777" w:rsidRPr="00B962A0" w:rsidRDefault="006B5777" w:rsidP="006B5777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食品</w:t>
            </w:r>
            <w:proofErr w:type="gramStart"/>
            <w:r w:rsidRPr="00B962A0">
              <w:rPr>
                <w:rFonts w:ascii="Times New Roman" w:eastAsia="標楷體" w:hAnsi="Times New Roman" w:cs="Times New Roman"/>
                <w:szCs w:val="24"/>
              </w:rPr>
              <w:t>之熱藏</w:t>
            </w:r>
            <w:proofErr w:type="gramEnd"/>
            <w:r w:rsidRPr="00B962A0">
              <w:rPr>
                <w:rFonts w:ascii="Times New Roman" w:eastAsia="標楷體" w:hAnsi="Times New Roman" w:cs="Times New Roman"/>
                <w:szCs w:val="24"/>
              </w:rPr>
              <w:t>，溫度應保持在攝氏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60</w:t>
            </w:r>
            <w:r w:rsidRPr="00B962A0">
              <w:rPr>
                <w:rFonts w:ascii="新細明體" w:eastAsia="新細明體" w:hAnsi="新細明體" w:cs="新細明體" w:hint="eastAsia"/>
                <w:szCs w:val="24"/>
              </w:rPr>
              <w:t>℃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以上，且不可有過期或變質、腐壞食品。</w:t>
            </w:r>
          </w:p>
        </w:tc>
        <w:tc>
          <w:tcPr>
            <w:tcW w:w="2522" w:type="dxa"/>
          </w:tcPr>
          <w:p w:rsidR="006B5777" w:rsidRPr="00B962A0" w:rsidRDefault="006B5777" w:rsidP="006B57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6B5777" w:rsidRPr="00B962A0" w:rsidRDefault="006B5777" w:rsidP="006B5777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  <w:tc>
          <w:tcPr>
            <w:tcW w:w="2552" w:type="dxa"/>
          </w:tcPr>
          <w:p w:rsidR="006B5777" w:rsidRPr="00B962A0" w:rsidRDefault="006B5777" w:rsidP="006B57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6B5777" w:rsidRPr="00B962A0" w:rsidRDefault="006B5777" w:rsidP="006B5777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</w:tr>
      <w:tr w:rsidR="00B962A0" w:rsidRPr="00B962A0" w:rsidTr="00024E94">
        <w:trPr>
          <w:cantSplit/>
          <w:trHeight w:val="335"/>
          <w:jc w:val="center"/>
        </w:trPr>
        <w:tc>
          <w:tcPr>
            <w:tcW w:w="846" w:type="dxa"/>
            <w:vMerge w:val="restart"/>
          </w:tcPr>
          <w:p w:rsidR="006B5777" w:rsidRPr="00B962A0" w:rsidRDefault="006B5777" w:rsidP="006B5777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用餐場所及</w:t>
            </w:r>
            <w:proofErr w:type="gramStart"/>
            <w:r w:rsidRPr="00B962A0">
              <w:rPr>
                <w:rFonts w:ascii="Times New Roman" w:eastAsia="標楷體" w:hAnsi="Times New Roman" w:cs="Times New Roman"/>
                <w:szCs w:val="24"/>
              </w:rPr>
              <w:t>用餐盛具衛生</w:t>
            </w:r>
            <w:proofErr w:type="gramEnd"/>
            <w:r w:rsidRPr="00B962A0">
              <w:rPr>
                <w:rFonts w:ascii="Times New Roman" w:eastAsia="標楷體" w:hAnsi="Times New Roman" w:cs="Times New Roman"/>
                <w:szCs w:val="24"/>
              </w:rPr>
              <w:t>管理</w:t>
            </w:r>
          </w:p>
        </w:tc>
        <w:tc>
          <w:tcPr>
            <w:tcW w:w="699" w:type="dxa"/>
            <w:vAlign w:val="center"/>
          </w:tcPr>
          <w:p w:rsidR="006B5777" w:rsidRPr="00B962A0" w:rsidRDefault="006B5777" w:rsidP="006B5777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26</w:t>
            </w:r>
          </w:p>
        </w:tc>
        <w:tc>
          <w:tcPr>
            <w:tcW w:w="3441" w:type="dxa"/>
            <w:vAlign w:val="center"/>
          </w:tcPr>
          <w:p w:rsidR="006B5777" w:rsidRPr="00B962A0" w:rsidRDefault="006B5777" w:rsidP="006B5777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不得以有缺口、裂縫、變形、變色或脫色之餐具盛放食品或供人使用。</w:t>
            </w:r>
          </w:p>
        </w:tc>
        <w:tc>
          <w:tcPr>
            <w:tcW w:w="2522" w:type="dxa"/>
          </w:tcPr>
          <w:p w:rsidR="006B5777" w:rsidRPr="00B962A0" w:rsidRDefault="006B5777" w:rsidP="006B57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6B5777" w:rsidRPr="00B962A0" w:rsidRDefault="006B5777" w:rsidP="006B5777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  <w:tc>
          <w:tcPr>
            <w:tcW w:w="2552" w:type="dxa"/>
          </w:tcPr>
          <w:p w:rsidR="006B5777" w:rsidRPr="00B962A0" w:rsidRDefault="006B5777" w:rsidP="006B57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6B5777" w:rsidRPr="00B962A0" w:rsidRDefault="006B5777" w:rsidP="006B5777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</w:tr>
      <w:tr w:rsidR="00B962A0" w:rsidRPr="00B962A0" w:rsidTr="00024E94">
        <w:trPr>
          <w:cantSplit/>
          <w:trHeight w:val="349"/>
          <w:jc w:val="center"/>
        </w:trPr>
        <w:tc>
          <w:tcPr>
            <w:tcW w:w="846" w:type="dxa"/>
            <w:vMerge/>
          </w:tcPr>
          <w:p w:rsidR="006B5777" w:rsidRPr="00B962A0" w:rsidRDefault="006B5777" w:rsidP="006B5777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6B5777" w:rsidRPr="00B962A0" w:rsidRDefault="006B5777" w:rsidP="006B5777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27</w:t>
            </w:r>
          </w:p>
        </w:tc>
        <w:tc>
          <w:tcPr>
            <w:tcW w:w="3441" w:type="dxa"/>
            <w:vAlign w:val="center"/>
          </w:tcPr>
          <w:p w:rsidR="006B5777" w:rsidRPr="00B962A0" w:rsidRDefault="006B5777" w:rsidP="006B5777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餐具之洗滌應具有標準式</w:t>
            </w:r>
            <w:proofErr w:type="gramStart"/>
            <w:r w:rsidRPr="00B962A0">
              <w:rPr>
                <w:rFonts w:ascii="Times New Roman" w:eastAsia="標楷體" w:hAnsi="Times New Roman" w:cs="Times New Roman"/>
                <w:szCs w:val="24"/>
              </w:rPr>
              <w:t>三</w:t>
            </w:r>
            <w:proofErr w:type="gramEnd"/>
            <w:r w:rsidRPr="00B962A0">
              <w:rPr>
                <w:rFonts w:ascii="Times New Roman" w:eastAsia="標楷體" w:hAnsi="Times New Roman" w:cs="Times New Roman"/>
                <w:szCs w:val="24"/>
              </w:rPr>
              <w:t>槽式洗滌之效果，洗滌殺菌後不得再以抹布擦拭餐具；若餐具洗滌外包則應確認</w:t>
            </w:r>
            <w:proofErr w:type="gramStart"/>
            <w:r w:rsidRPr="00B962A0">
              <w:rPr>
                <w:rFonts w:ascii="Times New Roman" w:eastAsia="標楷體" w:hAnsi="Times New Roman" w:cs="Times New Roman"/>
                <w:szCs w:val="24"/>
              </w:rPr>
              <w:t>清潔度且有</w:t>
            </w:r>
            <w:proofErr w:type="gramEnd"/>
            <w:r w:rsidRPr="00B962A0">
              <w:rPr>
                <w:rFonts w:ascii="Times New Roman" w:eastAsia="標楷體" w:hAnsi="Times New Roman" w:cs="Times New Roman"/>
                <w:szCs w:val="24"/>
              </w:rPr>
              <w:t>完整覆蓋。</w:t>
            </w:r>
          </w:p>
        </w:tc>
        <w:tc>
          <w:tcPr>
            <w:tcW w:w="2522" w:type="dxa"/>
          </w:tcPr>
          <w:p w:rsidR="006B5777" w:rsidRPr="00B962A0" w:rsidRDefault="006B5777" w:rsidP="006B57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6B5777" w:rsidRPr="00B962A0" w:rsidRDefault="006B5777" w:rsidP="006B5777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  <w:tc>
          <w:tcPr>
            <w:tcW w:w="2552" w:type="dxa"/>
          </w:tcPr>
          <w:p w:rsidR="006B5777" w:rsidRPr="00B962A0" w:rsidRDefault="006B5777" w:rsidP="006B57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6B5777" w:rsidRPr="00B962A0" w:rsidRDefault="006B5777" w:rsidP="006B5777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</w:tr>
      <w:tr w:rsidR="00B962A0" w:rsidRPr="00B962A0" w:rsidTr="00024E94">
        <w:trPr>
          <w:cantSplit/>
          <w:trHeight w:val="349"/>
          <w:jc w:val="center"/>
        </w:trPr>
        <w:tc>
          <w:tcPr>
            <w:tcW w:w="846" w:type="dxa"/>
            <w:vMerge/>
          </w:tcPr>
          <w:p w:rsidR="006B5777" w:rsidRPr="00B962A0" w:rsidRDefault="006B5777" w:rsidP="006B5777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6B5777" w:rsidRPr="00B962A0" w:rsidRDefault="006B5777" w:rsidP="006B5777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28</w:t>
            </w:r>
          </w:p>
        </w:tc>
        <w:tc>
          <w:tcPr>
            <w:tcW w:w="3441" w:type="dxa"/>
            <w:vAlign w:val="center"/>
          </w:tcPr>
          <w:p w:rsidR="006B5777" w:rsidRPr="00B962A0" w:rsidRDefault="006B5777" w:rsidP="006B5777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洗滌餐具時，應以食品</w:t>
            </w:r>
            <w:proofErr w:type="gramStart"/>
            <w:r w:rsidRPr="00B962A0">
              <w:rPr>
                <w:rFonts w:ascii="Times New Roman" w:eastAsia="標楷體" w:hAnsi="Times New Roman" w:cs="Times New Roman"/>
                <w:szCs w:val="24"/>
              </w:rPr>
              <w:t>用洗潔劑</w:t>
            </w:r>
            <w:proofErr w:type="gramEnd"/>
            <w:r w:rsidRPr="00B962A0">
              <w:rPr>
                <w:rFonts w:ascii="Times New Roman" w:eastAsia="標楷體" w:hAnsi="Times New Roman" w:cs="Times New Roman"/>
                <w:szCs w:val="24"/>
              </w:rPr>
              <w:t>，不得使用洗衣粉洗滌。</w:t>
            </w:r>
          </w:p>
        </w:tc>
        <w:tc>
          <w:tcPr>
            <w:tcW w:w="2522" w:type="dxa"/>
          </w:tcPr>
          <w:p w:rsidR="006B5777" w:rsidRPr="00B962A0" w:rsidRDefault="006B5777" w:rsidP="006B57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6B5777" w:rsidRPr="00B962A0" w:rsidRDefault="006B5777" w:rsidP="006B5777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  <w:tc>
          <w:tcPr>
            <w:tcW w:w="2552" w:type="dxa"/>
          </w:tcPr>
          <w:p w:rsidR="006B5777" w:rsidRPr="00B962A0" w:rsidRDefault="006B5777" w:rsidP="006B57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6B5777" w:rsidRPr="00B962A0" w:rsidRDefault="006B5777" w:rsidP="006B5777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</w:tr>
      <w:tr w:rsidR="00B962A0" w:rsidRPr="00B962A0" w:rsidTr="00024E94">
        <w:trPr>
          <w:cantSplit/>
          <w:trHeight w:val="349"/>
          <w:jc w:val="center"/>
        </w:trPr>
        <w:tc>
          <w:tcPr>
            <w:tcW w:w="846" w:type="dxa"/>
            <w:vMerge/>
          </w:tcPr>
          <w:p w:rsidR="006B5777" w:rsidRPr="00B962A0" w:rsidRDefault="006B5777" w:rsidP="006B5777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6B5777" w:rsidRPr="00B962A0" w:rsidRDefault="006B5777" w:rsidP="006B5777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29</w:t>
            </w:r>
          </w:p>
        </w:tc>
        <w:tc>
          <w:tcPr>
            <w:tcW w:w="3441" w:type="dxa"/>
            <w:vAlign w:val="center"/>
          </w:tcPr>
          <w:p w:rsidR="006B5777" w:rsidRPr="00B962A0" w:rsidRDefault="006B5777" w:rsidP="006B5777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乾淨餐具之存放不得有污染之慮。</w:t>
            </w:r>
          </w:p>
        </w:tc>
        <w:tc>
          <w:tcPr>
            <w:tcW w:w="2522" w:type="dxa"/>
          </w:tcPr>
          <w:p w:rsidR="006B5777" w:rsidRPr="00B962A0" w:rsidRDefault="006B5777" w:rsidP="006B57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6B5777" w:rsidRPr="00B962A0" w:rsidRDefault="006B5777" w:rsidP="006B5777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  <w:tc>
          <w:tcPr>
            <w:tcW w:w="2552" w:type="dxa"/>
          </w:tcPr>
          <w:p w:rsidR="006B5777" w:rsidRPr="00B962A0" w:rsidRDefault="006B5777" w:rsidP="006B57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6B5777" w:rsidRPr="00B962A0" w:rsidRDefault="006B5777" w:rsidP="006B5777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</w:tr>
      <w:tr w:rsidR="00B962A0" w:rsidRPr="00B962A0" w:rsidTr="00024E94">
        <w:trPr>
          <w:cantSplit/>
          <w:trHeight w:val="349"/>
          <w:jc w:val="center"/>
        </w:trPr>
        <w:tc>
          <w:tcPr>
            <w:tcW w:w="846" w:type="dxa"/>
            <w:vMerge/>
          </w:tcPr>
          <w:p w:rsidR="006B5777" w:rsidRPr="00B962A0" w:rsidRDefault="006B5777" w:rsidP="006B5777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6B5777" w:rsidRPr="00B962A0" w:rsidRDefault="006B5777" w:rsidP="006B5777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30</w:t>
            </w:r>
          </w:p>
        </w:tc>
        <w:tc>
          <w:tcPr>
            <w:tcW w:w="3441" w:type="dxa"/>
            <w:vAlign w:val="center"/>
          </w:tcPr>
          <w:p w:rsidR="006B5777" w:rsidRPr="00B962A0" w:rsidRDefault="006B5777" w:rsidP="006B5777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自助餐</w:t>
            </w:r>
            <w:proofErr w:type="gramStart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等配膳</w:t>
            </w:r>
            <w:proofErr w:type="gramEnd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人員</w:t>
            </w:r>
            <w:proofErr w:type="gramStart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供膳時需</w:t>
            </w:r>
            <w:proofErr w:type="gramEnd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配戴口罩，直接碰觸食品時應配戴丟棄式衛生手套。</w:t>
            </w:r>
          </w:p>
        </w:tc>
        <w:tc>
          <w:tcPr>
            <w:tcW w:w="2522" w:type="dxa"/>
          </w:tcPr>
          <w:p w:rsidR="006B5777" w:rsidRPr="00B962A0" w:rsidRDefault="006B5777" w:rsidP="006B5777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6B5777" w:rsidRPr="00B962A0" w:rsidRDefault="006B5777" w:rsidP="006B5777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  <w:tc>
          <w:tcPr>
            <w:tcW w:w="2552" w:type="dxa"/>
          </w:tcPr>
          <w:p w:rsidR="006B5777" w:rsidRPr="00B962A0" w:rsidRDefault="006B5777" w:rsidP="006B5777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6B5777" w:rsidRPr="00B962A0" w:rsidRDefault="006B5777" w:rsidP="006B5777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</w:tr>
      <w:tr w:rsidR="00B962A0" w:rsidRPr="00B962A0" w:rsidTr="00024E94">
        <w:trPr>
          <w:cantSplit/>
          <w:trHeight w:val="349"/>
          <w:jc w:val="center"/>
        </w:trPr>
        <w:tc>
          <w:tcPr>
            <w:tcW w:w="846" w:type="dxa"/>
            <w:vMerge/>
          </w:tcPr>
          <w:p w:rsidR="006B5777" w:rsidRPr="00B962A0" w:rsidRDefault="006B5777" w:rsidP="006B5777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6B5777" w:rsidRPr="00B962A0" w:rsidRDefault="006B5777" w:rsidP="006B5777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31</w:t>
            </w:r>
          </w:p>
        </w:tc>
        <w:tc>
          <w:tcPr>
            <w:tcW w:w="3441" w:type="dxa"/>
            <w:vAlign w:val="center"/>
          </w:tcPr>
          <w:p w:rsidR="006B5777" w:rsidRPr="00B962A0" w:rsidRDefault="006B5777" w:rsidP="006B5777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proofErr w:type="gramStart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配膳與</w:t>
            </w:r>
            <w:proofErr w:type="gramEnd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收銀作業不得有相互汙染行為。</w:t>
            </w:r>
          </w:p>
        </w:tc>
        <w:tc>
          <w:tcPr>
            <w:tcW w:w="2522" w:type="dxa"/>
          </w:tcPr>
          <w:p w:rsidR="006B5777" w:rsidRPr="00B962A0" w:rsidRDefault="006B5777" w:rsidP="006B5777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6B5777" w:rsidRPr="00B962A0" w:rsidRDefault="006B5777" w:rsidP="006B5777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  <w:tc>
          <w:tcPr>
            <w:tcW w:w="2552" w:type="dxa"/>
          </w:tcPr>
          <w:p w:rsidR="006B5777" w:rsidRPr="00B962A0" w:rsidRDefault="006B5777" w:rsidP="006B5777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6B5777" w:rsidRPr="00B962A0" w:rsidRDefault="006B5777" w:rsidP="006B5777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</w:tr>
      <w:tr w:rsidR="00B962A0" w:rsidRPr="00B962A0" w:rsidTr="00024E94">
        <w:trPr>
          <w:cantSplit/>
          <w:trHeight w:val="349"/>
          <w:jc w:val="center"/>
        </w:trPr>
        <w:tc>
          <w:tcPr>
            <w:tcW w:w="846" w:type="dxa"/>
            <w:vMerge w:val="restart"/>
          </w:tcPr>
          <w:p w:rsidR="006B5777" w:rsidRPr="00B962A0" w:rsidRDefault="006B5777" w:rsidP="006B5777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廢棄物處理與病媒管制</w:t>
            </w:r>
          </w:p>
        </w:tc>
        <w:tc>
          <w:tcPr>
            <w:tcW w:w="699" w:type="dxa"/>
            <w:vAlign w:val="center"/>
          </w:tcPr>
          <w:p w:rsidR="006B5777" w:rsidRPr="00B962A0" w:rsidRDefault="006B5777" w:rsidP="006B5777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3</w:t>
            </w:r>
            <w:r w:rsidR="0012148C"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2</w:t>
            </w:r>
          </w:p>
        </w:tc>
        <w:tc>
          <w:tcPr>
            <w:tcW w:w="3441" w:type="dxa"/>
            <w:vAlign w:val="center"/>
          </w:tcPr>
          <w:p w:rsidR="006B5777" w:rsidRPr="00B962A0" w:rsidRDefault="006B5777" w:rsidP="006B5777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作業場所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含前處理、烹調製備場所、</w:t>
            </w:r>
            <w:proofErr w:type="gramStart"/>
            <w:r w:rsidRPr="00B962A0">
              <w:rPr>
                <w:rFonts w:ascii="Times New Roman" w:eastAsia="標楷體" w:hAnsi="Times New Roman" w:cs="Times New Roman"/>
                <w:szCs w:val="24"/>
              </w:rPr>
              <w:t>配膳區</w:t>
            </w:r>
            <w:proofErr w:type="gramEnd"/>
            <w:r w:rsidRPr="00B962A0">
              <w:rPr>
                <w:rFonts w:ascii="Times New Roman" w:eastAsia="標楷體" w:hAnsi="Times New Roman" w:cs="Times New Roman"/>
                <w:szCs w:val="24"/>
              </w:rPr>
              <w:t>等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，應有防止及排除病媒或其他有害動物措施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如紗門、紗窗、</w:t>
            </w:r>
            <w:proofErr w:type="gramStart"/>
            <w:r w:rsidRPr="00B962A0">
              <w:rPr>
                <w:rFonts w:ascii="Times New Roman" w:eastAsia="標楷體" w:hAnsi="Times New Roman" w:cs="Times New Roman"/>
                <w:szCs w:val="24"/>
              </w:rPr>
              <w:t>空氣簾等</w:t>
            </w:r>
            <w:proofErr w:type="gramEnd"/>
            <w:r w:rsidRPr="00B962A0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。</w:t>
            </w:r>
          </w:p>
        </w:tc>
        <w:tc>
          <w:tcPr>
            <w:tcW w:w="2522" w:type="dxa"/>
          </w:tcPr>
          <w:p w:rsidR="006B5777" w:rsidRPr="00B962A0" w:rsidRDefault="006B5777" w:rsidP="006B57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6B5777" w:rsidRPr="00B962A0" w:rsidRDefault="006B5777" w:rsidP="006B5777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  <w:tc>
          <w:tcPr>
            <w:tcW w:w="2552" w:type="dxa"/>
          </w:tcPr>
          <w:p w:rsidR="006B5777" w:rsidRPr="00B962A0" w:rsidRDefault="006B5777" w:rsidP="006B57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6B5777" w:rsidRPr="00B962A0" w:rsidRDefault="006B5777" w:rsidP="006B5777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</w:tr>
      <w:tr w:rsidR="00B962A0" w:rsidRPr="00B962A0" w:rsidTr="00024E94">
        <w:trPr>
          <w:cantSplit/>
          <w:trHeight w:val="349"/>
          <w:jc w:val="center"/>
        </w:trPr>
        <w:tc>
          <w:tcPr>
            <w:tcW w:w="846" w:type="dxa"/>
            <w:vMerge/>
          </w:tcPr>
          <w:p w:rsidR="006B5777" w:rsidRPr="00B962A0" w:rsidRDefault="006B5777" w:rsidP="006B5777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6B5777" w:rsidRPr="00B962A0" w:rsidRDefault="006B5777" w:rsidP="006B5777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3</w:t>
            </w:r>
            <w:r w:rsidR="0012148C"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3</w:t>
            </w:r>
          </w:p>
        </w:tc>
        <w:tc>
          <w:tcPr>
            <w:tcW w:w="3441" w:type="dxa"/>
            <w:vAlign w:val="center"/>
          </w:tcPr>
          <w:p w:rsidR="006B5777" w:rsidRPr="00B962A0" w:rsidRDefault="006B5777" w:rsidP="006B5777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環境衛生用藥與用具、化學藥劑等應明顯標示，並有專櫃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(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專區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)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存放、專人管理或紀錄，不得放於食品處理區或食品貯存區。</w:t>
            </w:r>
          </w:p>
        </w:tc>
        <w:tc>
          <w:tcPr>
            <w:tcW w:w="2522" w:type="dxa"/>
          </w:tcPr>
          <w:p w:rsidR="006B5777" w:rsidRPr="00B962A0" w:rsidRDefault="006B5777" w:rsidP="006B5777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6B5777" w:rsidRPr="00B962A0" w:rsidRDefault="006B5777" w:rsidP="006B5777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  <w:tc>
          <w:tcPr>
            <w:tcW w:w="2552" w:type="dxa"/>
          </w:tcPr>
          <w:p w:rsidR="006B5777" w:rsidRPr="00B962A0" w:rsidRDefault="006B5777" w:rsidP="006B5777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6B5777" w:rsidRPr="00B962A0" w:rsidRDefault="006B5777" w:rsidP="006B5777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</w:tr>
      <w:tr w:rsidR="00B962A0" w:rsidRPr="00B962A0" w:rsidTr="00024E94">
        <w:trPr>
          <w:cantSplit/>
          <w:trHeight w:val="349"/>
          <w:jc w:val="center"/>
        </w:trPr>
        <w:tc>
          <w:tcPr>
            <w:tcW w:w="846" w:type="dxa"/>
            <w:vMerge/>
          </w:tcPr>
          <w:p w:rsidR="006B5777" w:rsidRPr="00B962A0" w:rsidRDefault="006B5777" w:rsidP="006B5777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6B5777" w:rsidRPr="00B962A0" w:rsidRDefault="006B5777" w:rsidP="006B5777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3</w:t>
            </w:r>
            <w:r w:rsidR="0012148C"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4</w:t>
            </w:r>
          </w:p>
        </w:tc>
        <w:tc>
          <w:tcPr>
            <w:tcW w:w="3441" w:type="dxa"/>
            <w:vAlign w:val="center"/>
          </w:tcPr>
          <w:p w:rsidR="006B5777" w:rsidRPr="00B962A0" w:rsidRDefault="006B5777" w:rsidP="006B5777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有效及定期的病媒防治措施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(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備消毒紀錄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)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。</w:t>
            </w:r>
          </w:p>
        </w:tc>
        <w:tc>
          <w:tcPr>
            <w:tcW w:w="2522" w:type="dxa"/>
          </w:tcPr>
          <w:p w:rsidR="006B5777" w:rsidRPr="00B962A0" w:rsidRDefault="006B5777" w:rsidP="006B5777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6B5777" w:rsidRPr="00B962A0" w:rsidRDefault="006B5777" w:rsidP="006B5777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  <w:tc>
          <w:tcPr>
            <w:tcW w:w="2552" w:type="dxa"/>
          </w:tcPr>
          <w:p w:rsidR="006B5777" w:rsidRPr="00B962A0" w:rsidRDefault="006B5777" w:rsidP="006B5777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6B5777" w:rsidRPr="00B962A0" w:rsidRDefault="006B5777" w:rsidP="006B5777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</w:tr>
      <w:tr w:rsidR="00B962A0" w:rsidRPr="00B962A0" w:rsidTr="00024E94">
        <w:trPr>
          <w:cantSplit/>
          <w:trHeight w:val="349"/>
          <w:jc w:val="center"/>
        </w:trPr>
        <w:tc>
          <w:tcPr>
            <w:tcW w:w="846" w:type="dxa"/>
            <w:vMerge/>
          </w:tcPr>
          <w:p w:rsidR="006B5777" w:rsidRPr="00B962A0" w:rsidRDefault="006B5777" w:rsidP="006B5777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6B5777" w:rsidRPr="00B962A0" w:rsidRDefault="006B5777" w:rsidP="006B5777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3</w:t>
            </w:r>
            <w:r w:rsidR="0012148C"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5</w:t>
            </w:r>
          </w:p>
          <w:p w:rsidR="006B5777" w:rsidRPr="00B962A0" w:rsidRDefault="006B5777" w:rsidP="006B5777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Segoe UI Symbol" w:eastAsia="新細明體" w:hAnsi="Segoe UI Symbol" w:cs="Segoe UI Symbol"/>
                <w:szCs w:val="24"/>
                <w:u w:val="single"/>
              </w:rPr>
              <w:t>★</w:t>
            </w:r>
          </w:p>
        </w:tc>
        <w:tc>
          <w:tcPr>
            <w:tcW w:w="3441" w:type="dxa"/>
            <w:vAlign w:val="center"/>
          </w:tcPr>
          <w:p w:rsidR="006B5777" w:rsidRPr="00B962A0" w:rsidRDefault="006B5777" w:rsidP="006B5777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每日製作完成之高水活性、低酸性食品菜餚，應依規定分類密封適量留存置於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7</w:t>
            </w:r>
            <w:r w:rsidRPr="00B962A0">
              <w:rPr>
                <w:rFonts w:ascii="新細明體" w:eastAsia="新細明體" w:hAnsi="新細明體" w:cs="新細明體" w:hint="eastAsia"/>
                <w:szCs w:val="24"/>
              </w:rPr>
              <w:t>℃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以下冷藏冰箱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48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小時，並記錄備查。</w:t>
            </w:r>
          </w:p>
        </w:tc>
        <w:tc>
          <w:tcPr>
            <w:tcW w:w="2522" w:type="dxa"/>
          </w:tcPr>
          <w:p w:rsidR="006B5777" w:rsidRPr="00B962A0" w:rsidRDefault="006B5777" w:rsidP="006B57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6B5777" w:rsidRPr="00B962A0" w:rsidRDefault="006B5777" w:rsidP="006B5777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  <w:tc>
          <w:tcPr>
            <w:tcW w:w="2552" w:type="dxa"/>
          </w:tcPr>
          <w:p w:rsidR="006B5777" w:rsidRPr="00B962A0" w:rsidRDefault="006B5777" w:rsidP="006B57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6B5777" w:rsidRPr="00B962A0" w:rsidRDefault="006B5777" w:rsidP="006B5777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</w:tr>
      <w:tr w:rsidR="00B962A0" w:rsidRPr="00B962A0" w:rsidTr="00024E94">
        <w:trPr>
          <w:cantSplit/>
          <w:trHeight w:val="349"/>
          <w:jc w:val="center"/>
        </w:trPr>
        <w:tc>
          <w:tcPr>
            <w:tcW w:w="846" w:type="dxa"/>
            <w:vMerge/>
          </w:tcPr>
          <w:p w:rsidR="006B5777" w:rsidRPr="00B962A0" w:rsidRDefault="006B5777" w:rsidP="006B5777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6B5777" w:rsidRPr="00B962A0" w:rsidRDefault="006B5777" w:rsidP="006B5777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3</w:t>
            </w:r>
            <w:r w:rsidR="0012148C"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6</w:t>
            </w:r>
          </w:p>
        </w:tc>
        <w:tc>
          <w:tcPr>
            <w:tcW w:w="3441" w:type="dxa"/>
            <w:vAlign w:val="center"/>
          </w:tcPr>
          <w:p w:rsidR="006B5777" w:rsidRPr="00B962A0" w:rsidRDefault="006B5777" w:rsidP="006B5777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應定期抽驗業者製作之食品是否符合相關衛生標準，並記錄備查。</w:t>
            </w:r>
          </w:p>
        </w:tc>
        <w:tc>
          <w:tcPr>
            <w:tcW w:w="2522" w:type="dxa"/>
          </w:tcPr>
          <w:p w:rsidR="006B5777" w:rsidRPr="00B962A0" w:rsidRDefault="006B5777" w:rsidP="006B57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6B5777" w:rsidRPr="00B962A0" w:rsidRDefault="006B5777" w:rsidP="006B5777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  <w:tc>
          <w:tcPr>
            <w:tcW w:w="2552" w:type="dxa"/>
          </w:tcPr>
          <w:p w:rsidR="006B5777" w:rsidRPr="00B962A0" w:rsidRDefault="006B5777" w:rsidP="006B57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不適用</w:t>
            </w:r>
          </w:p>
          <w:p w:rsidR="006B5777" w:rsidRPr="00B962A0" w:rsidRDefault="006B5777" w:rsidP="006B5777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原因：</w:t>
            </w:r>
          </w:p>
        </w:tc>
      </w:tr>
      <w:tr w:rsidR="00B962A0" w:rsidRPr="00B962A0" w:rsidTr="00024E94">
        <w:trPr>
          <w:cantSplit/>
          <w:trHeight w:val="349"/>
          <w:jc w:val="center"/>
        </w:trPr>
        <w:tc>
          <w:tcPr>
            <w:tcW w:w="846" w:type="dxa"/>
            <w:vMerge/>
          </w:tcPr>
          <w:p w:rsidR="006B5777" w:rsidRPr="00B962A0" w:rsidRDefault="006B5777" w:rsidP="006B5777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6B5777" w:rsidRPr="00B962A0" w:rsidRDefault="006B5777" w:rsidP="006B5777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3</w:t>
            </w:r>
            <w:r w:rsidR="0012148C"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7</w:t>
            </w:r>
          </w:p>
        </w:tc>
        <w:tc>
          <w:tcPr>
            <w:tcW w:w="3441" w:type="dxa"/>
            <w:vAlign w:val="center"/>
          </w:tcPr>
          <w:p w:rsidR="006B5777" w:rsidRPr="00B962A0" w:rsidRDefault="006B5777" w:rsidP="006B5777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作業場所及餐廳內，不得住宿及飼養寵物。</w:t>
            </w:r>
          </w:p>
        </w:tc>
        <w:tc>
          <w:tcPr>
            <w:tcW w:w="2522" w:type="dxa"/>
          </w:tcPr>
          <w:p w:rsidR="006B5777" w:rsidRPr="00B962A0" w:rsidRDefault="006B5777" w:rsidP="006B5777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6B5777" w:rsidRPr="00B962A0" w:rsidRDefault="006B5777" w:rsidP="006B5777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  <w:tc>
          <w:tcPr>
            <w:tcW w:w="2552" w:type="dxa"/>
          </w:tcPr>
          <w:p w:rsidR="006B5777" w:rsidRPr="00B962A0" w:rsidRDefault="006B5777" w:rsidP="006B5777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6B5777" w:rsidRPr="00B962A0" w:rsidRDefault="006B5777" w:rsidP="006B5777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</w:tr>
      <w:tr w:rsidR="00B962A0" w:rsidRPr="00B962A0" w:rsidTr="00035530">
        <w:trPr>
          <w:cantSplit/>
          <w:trHeight w:val="349"/>
          <w:jc w:val="center"/>
        </w:trPr>
        <w:tc>
          <w:tcPr>
            <w:tcW w:w="846" w:type="dxa"/>
          </w:tcPr>
          <w:p w:rsidR="006B5777" w:rsidRPr="00B962A0" w:rsidRDefault="006B5777" w:rsidP="00035530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校園食材登錄平</w:t>
            </w:r>
            <w:proofErr w:type="gramStart"/>
            <w:r w:rsidRPr="00B962A0">
              <w:rPr>
                <w:rFonts w:ascii="Times New Roman" w:eastAsia="標楷體" w:hAnsi="Times New Roman" w:cs="Times New Roman"/>
                <w:szCs w:val="24"/>
              </w:rPr>
              <w:t>臺</w:t>
            </w:r>
            <w:proofErr w:type="gramEnd"/>
          </w:p>
        </w:tc>
        <w:tc>
          <w:tcPr>
            <w:tcW w:w="699" w:type="dxa"/>
            <w:vAlign w:val="center"/>
          </w:tcPr>
          <w:p w:rsidR="006B5777" w:rsidRPr="00B962A0" w:rsidRDefault="006B5777" w:rsidP="00035530">
            <w:pPr>
              <w:spacing w:line="360" w:lineRule="exact"/>
              <w:jc w:val="center"/>
              <w:rPr>
                <w:rFonts w:ascii="Times New Roman" w:eastAsia="新細明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新細明體" w:hAnsi="Times New Roman" w:cs="Times New Roman"/>
                <w:szCs w:val="24"/>
                <w:u w:val="single"/>
              </w:rPr>
              <w:t>3</w:t>
            </w:r>
            <w:r w:rsidR="0012148C" w:rsidRPr="00B962A0">
              <w:rPr>
                <w:rFonts w:ascii="Times New Roman" w:eastAsia="新細明體" w:hAnsi="Times New Roman" w:cs="Times New Roman"/>
                <w:szCs w:val="24"/>
                <w:u w:val="single"/>
              </w:rPr>
              <w:t>8</w:t>
            </w:r>
          </w:p>
          <w:p w:rsidR="006B5777" w:rsidRPr="00B962A0" w:rsidRDefault="006B5777" w:rsidP="00035530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Segoe UI Symbol" w:eastAsia="新細明體" w:hAnsi="Segoe UI Symbol" w:cs="Segoe UI Symbol"/>
                <w:szCs w:val="24"/>
                <w:u w:val="single"/>
              </w:rPr>
              <w:t>★</w:t>
            </w:r>
          </w:p>
        </w:tc>
        <w:tc>
          <w:tcPr>
            <w:tcW w:w="3441" w:type="dxa"/>
            <w:vAlign w:val="center"/>
          </w:tcPr>
          <w:p w:rsidR="006B5777" w:rsidRPr="00B962A0" w:rsidRDefault="006B5777" w:rsidP="00035530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定期至平</w:t>
            </w:r>
            <w:proofErr w:type="gramStart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臺</w:t>
            </w:r>
            <w:proofErr w:type="gramEnd"/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登載供餐之主食材原料、品名、供應商等資訊。</w:t>
            </w:r>
          </w:p>
        </w:tc>
        <w:tc>
          <w:tcPr>
            <w:tcW w:w="2522" w:type="dxa"/>
          </w:tcPr>
          <w:p w:rsidR="006B5777" w:rsidRPr="00B962A0" w:rsidRDefault="006B5777" w:rsidP="00035530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</w:t>
            </w:r>
          </w:p>
          <w:p w:rsidR="006B5777" w:rsidRPr="00B962A0" w:rsidRDefault="006B5777" w:rsidP="00035530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="0056665D"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</w:t>
            </w:r>
            <w:r w:rsidR="0056665D" w:rsidRPr="00B962A0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分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符合（有缺漏）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無填寫</w:t>
            </w:r>
          </w:p>
          <w:p w:rsidR="006B5777" w:rsidRPr="00B962A0" w:rsidRDefault="006B5777" w:rsidP="000355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  <w:tc>
          <w:tcPr>
            <w:tcW w:w="2552" w:type="dxa"/>
          </w:tcPr>
          <w:p w:rsidR="006B5777" w:rsidRPr="00B962A0" w:rsidRDefault="006B5777" w:rsidP="00035530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</w:t>
            </w:r>
          </w:p>
          <w:p w:rsidR="006B5777" w:rsidRPr="00B962A0" w:rsidRDefault="006B5777" w:rsidP="00035530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="0056665D"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</w:t>
            </w:r>
            <w:r w:rsidR="0056665D" w:rsidRPr="00B962A0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分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符合（有缺漏）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無填寫</w:t>
            </w:r>
          </w:p>
          <w:p w:rsidR="006B5777" w:rsidRPr="00B962A0" w:rsidRDefault="006B5777" w:rsidP="000355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</w:tr>
      <w:tr w:rsidR="00B962A0" w:rsidRPr="00B962A0" w:rsidTr="00024E94">
        <w:trPr>
          <w:cantSplit/>
          <w:trHeight w:val="349"/>
          <w:jc w:val="center"/>
        </w:trPr>
        <w:tc>
          <w:tcPr>
            <w:tcW w:w="846" w:type="dxa"/>
          </w:tcPr>
          <w:p w:rsidR="006B5777" w:rsidRPr="00B962A0" w:rsidRDefault="006B5777" w:rsidP="006B5777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u w:val="single"/>
              </w:rPr>
              <w:lastRenderedPageBreak/>
              <w:t>其他管理事項</w:t>
            </w:r>
          </w:p>
        </w:tc>
        <w:tc>
          <w:tcPr>
            <w:tcW w:w="699" w:type="dxa"/>
            <w:vAlign w:val="center"/>
          </w:tcPr>
          <w:p w:rsidR="006B5777" w:rsidRPr="00B962A0" w:rsidRDefault="006B5777" w:rsidP="006B5777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39</w:t>
            </w:r>
          </w:p>
        </w:tc>
        <w:tc>
          <w:tcPr>
            <w:tcW w:w="3441" w:type="dxa"/>
            <w:vAlign w:val="center"/>
          </w:tcPr>
          <w:p w:rsidR="006B5777" w:rsidRPr="00B962A0" w:rsidRDefault="006B5777" w:rsidP="006B5777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廠商契約內有訂定違約記點、處罰標準或罰則。</w:t>
            </w:r>
          </w:p>
        </w:tc>
        <w:tc>
          <w:tcPr>
            <w:tcW w:w="2522" w:type="dxa"/>
          </w:tcPr>
          <w:p w:rsidR="006B5777" w:rsidRPr="00B962A0" w:rsidRDefault="006B5777" w:rsidP="006B5777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6B5777" w:rsidRPr="00B962A0" w:rsidRDefault="006B5777" w:rsidP="006B5777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  <w:tc>
          <w:tcPr>
            <w:tcW w:w="2552" w:type="dxa"/>
          </w:tcPr>
          <w:p w:rsidR="006B5777" w:rsidRPr="00B962A0" w:rsidRDefault="006B5777" w:rsidP="006B5777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部分符合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不符合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□</w:t>
            </w: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不適用</w:t>
            </w:r>
          </w:p>
          <w:p w:rsidR="006B5777" w:rsidRPr="00B962A0" w:rsidRDefault="006B5777" w:rsidP="006B5777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  <w:u w:val="single"/>
              </w:rPr>
              <w:t>原因：</w:t>
            </w:r>
          </w:p>
        </w:tc>
      </w:tr>
      <w:tr w:rsidR="00B962A0" w:rsidRPr="00B962A0" w:rsidTr="00024E94">
        <w:trPr>
          <w:cantSplit/>
          <w:trHeight w:val="349"/>
          <w:jc w:val="center"/>
        </w:trPr>
        <w:tc>
          <w:tcPr>
            <w:tcW w:w="10060" w:type="dxa"/>
            <w:gridSpan w:val="5"/>
          </w:tcPr>
          <w:p w:rsidR="006B5777" w:rsidRPr="00B962A0" w:rsidRDefault="006B5777" w:rsidP="006B57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962A0">
              <w:rPr>
                <w:rFonts w:ascii="Times New Roman" w:eastAsia="標楷體" w:hAnsi="Times New Roman" w:cs="Times New Roman"/>
                <w:szCs w:val="24"/>
              </w:rPr>
              <w:t>備註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B962A0">
              <w:rPr>
                <w:rFonts w:ascii="Segoe UI Symbol" w:eastAsia="標楷體" w:hAnsi="Segoe UI Symbol" w:cs="Segoe UI Symbol"/>
                <w:szCs w:val="24"/>
              </w:rPr>
              <w:t>★</w:t>
            </w:r>
            <w:r w:rsidRPr="00B962A0">
              <w:rPr>
                <w:rFonts w:ascii="Times New Roman" w:eastAsia="標楷體" w:hAnsi="Times New Roman" w:cs="Times New Roman"/>
                <w:szCs w:val="24"/>
              </w:rPr>
              <w:t>號為必要法定項目指標。</w:t>
            </w:r>
          </w:p>
        </w:tc>
      </w:tr>
    </w:tbl>
    <w:p w:rsidR="00C31CA7" w:rsidRPr="00B962A0" w:rsidRDefault="00C31CA7" w:rsidP="00C31CA7">
      <w:pPr>
        <w:numPr>
          <w:ilvl w:val="0"/>
          <w:numId w:val="6"/>
        </w:numPr>
        <w:jc w:val="both"/>
        <w:rPr>
          <w:rFonts w:ascii="Times New Roman" w:eastAsia="標楷體" w:hAnsi="Times New Roman" w:cs="Times New Roman"/>
        </w:rPr>
      </w:pPr>
      <w:r w:rsidRPr="00B962A0">
        <w:rPr>
          <w:rFonts w:ascii="Times New Roman" w:eastAsia="標楷體" w:hAnsi="Times New Roman" w:cs="Times New Roman"/>
        </w:rPr>
        <w:t>綜合意見：</w:t>
      </w:r>
    </w:p>
    <w:p w:rsidR="00863E62" w:rsidRPr="00B962A0" w:rsidRDefault="00863E62" w:rsidP="00863E62">
      <w:pPr>
        <w:jc w:val="both"/>
        <w:rPr>
          <w:rFonts w:ascii="Times New Roman" w:eastAsia="標楷體" w:hAnsi="Times New Roman" w:cs="Times New Roman"/>
        </w:rPr>
      </w:pPr>
    </w:p>
    <w:p w:rsidR="00863E62" w:rsidRPr="00B962A0" w:rsidRDefault="00863E62" w:rsidP="00863E62">
      <w:pPr>
        <w:jc w:val="both"/>
        <w:rPr>
          <w:rFonts w:ascii="Times New Roman" w:eastAsia="標楷體" w:hAnsi="Times New Roman" w:cs="Times New Roman"/>
        </w:rPr>
      </w:pPr>
    </w:p>
    <w:p w:rsidR="00863E62" w:rsidRPr="00B962A0" w:rsidRDefault="00863E62" w:rsidP="00863E62">
      <w:pPr>
        <w:jc w:val="both"/>
        <w:rPr>
          <w:rFonts w:ascii="Times New Roman" w:eastAsia="標楷體" w:hAnsi="Times New Roman" w:cs="Times New Roman"/>
        </w:rPr>
      </w:pPr>
    </w:p>
    <w:p w:rsidR="00C31CA7" w:rsidRPr="00B962A0" w:rsidRDefault="00C31CA7" w:rsidP="00863E62">
      <w:pPr>
        <w:numPr>
          <w:ilvl w:val="0"/>
          <w:numId w:val="7"/>
        </w:numPr>
        <w:spacing w:line="276" w:lineRule="auto"/>
        <w:rPr>
          <w:rFonts w:ascii="Times New Roman" w:eastAsia="標楷體" w:hAnsi="Times New Roman" w:cs="Times New Roman"/>
        </w:rPr>
      </w:pPr>
      <w:r w:rsidRPr="00B962A0">
        <w:rPr>
          <w:rFonts w:ascii="Times New Roman" w:eastAsia="標楷體" w:hAnsi="Times New Roman" w:cs="Times New Roman"/>
          <w:szCs w:val="24"/>
        </w:rPr>
        <w:t>委員簽名：</w:t>
      </w:r>
    </w:p>
    <w:p w:rsidR="00C31CA7" w:rsidRPr="00B962A0" w:rsidRDefault="00C31CA7" w:rsidP="00863E62">
      <w:pPr>
        <w:numPr>
          <w:ilvl w:val="0"/>
          <w:numId w:val="7"/>
        </w:numPr>
        <w:spacing w:line="276" w:lineRule="auto"/>
        <w:rPr>
          <w:rFonts w:ascii="Times New Roman" w:eastAsia="標楷體" w:hAnsi="Times New Roman" w:cs="Times New Roman"/>
        </w:rPr>
      </w:pPr>
      <w:r w:rsidRPr="00B962A0">
        <w:rPr>
          <w:rFonts w:ascii="Times New Roman" w:eastAsia="標楷體" w:hAnsi="Times New Roman" w:cs="Times New Roman"/>
        </w:rPr>
        <w:t>出席代表簽名：</w:t>
      </w:r>
    </w:p>
    <w:p w:rsidR="008024F8" w:rsidRPr="00B962A0" w:rsidRDefault="00C31CA7" w:rsidP="008D01D2">
      <w:pPr>
        <w:numPr>
          <w:ilvl w:val="0"/>
          <w:numId w:val="7"/>
        </w:numPr>
        <w:spacing w:line="276" w:lineRule="auto"/>
        <w:rPr>
          <w:rFonts w:ascii="Times New Roman" w:eastAsia="標楷體" w:hAnsi="Times New Roman" w:cs="Times New Roman"/>
          <w:sz w:val="26"/>
          <w:szCs w:val="26"/>
        </w:rPr>
      </w:pPr>
      <w:r w:rsidRPr="00B962A0">
        <w:rPr>
          <w:rFonts w:ascii="Times New Roman" w:eastAsia="標楷體" w:hAnsi="Times New Roman" w:cs="Times New Roman"/>
          <w:szCs w:val="24"/>
        </w:rPr>
        <w:t>廠商代表簽名：</w:t>
      </w:r>
      <w:r w:rsidRPr="00B962A0">
        <w:rPr>
          <w:rFonts w:ascii="Times New Roman" w:eastAsia="標楷體" w:hAnsi="Times New Roman" w:cs="Times New Roman"/>
        </w:rPr>
        <w:t xml:space="preserve">                                        </w:t>
      </w:r>
      <w:r w:rsidRPr="00B962A0">
        <w:rPr>
          <w:rFonts w:ascii="Times New Roman" w:eastAsia="標楷體" w:hAnsi="Times New Roman" w:cs="Times New Roman"/>
        </w:rPr>
        <w:t>日期：</w:t>
      </w:r>
    </w:p>
    <w:sectPr w:rsidR="008024F8" w:rsidRPr="00B962A0" w:rsidSect="008670B9">
      <w:footerReference w:type="default" r:id="rId9"/>
      <w:pgSz w:w="11906" w:h="16838"/>
      <w:pgMar w:top="1134" w:right="1077" w:bottom="1134" w:left="1077" w:header="851" w:footer="992" w:gutter="0"/>
      <w:pgNumType w:start="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D34" w:rsidRDefault="00E07D34" w:rsidP="00671C48">
      <w:r>
        <w:separator/>
      </w:r>
    </w:p>
  </w:endnote>
  <w:endnote w:type="continuationSeparator" w:id="0">
    <w:p w:rsidR="00E07D34" w:rsidRDefault="00E07D34" w:rsidP="00671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A36" w:rsidRPr="00990A36" w:rsidRDefault="00990A36">
    <w:pPr>
      <w:pStyle w:val="a6"/>
      <w:jc w:val="center"/>
      <w:rPr>
        <w:rFonts w:ascii="Times New Roman" w:hAnsi="Times New Roman" w:cs="Times New Roman"/>
      </w:rPr>
    </w:pPr>
  </w:p>
  <w:p w:rsidR="00990A36" w:rsidRDefault="00990A3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D34" w:rsidRDefault="00E07D34" w:rsidP="00671C48">
      <w:r>
        <w:separator/>
      </w:r>
    </w:p>
  </w:footnote>
  <w:footnote w:type="continuationSeparator" w:id="0">
    <w:p w:rsidR="00E07D34" w:rsidRDefault="00E07D34" w:rsidP="00671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5A76"/>
    <w:multiLevelType w:val="hybridMultilevel"/>
    <w:tmpl w:val="5A7A890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64F2418"/>
    <w:multiLevelType w:val="hybridMultilevel"/>
    <w:tmpl w:val="DB24A55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9DE0DC7"/>
    <w:multiLevelType w:val="hybridMultilevel"/>
    <w:tmpl w:val="FAF06AD4"/>
    <w:lvl w:ilvl="0" w:tplc="ECC87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C4154AE"/>
    <w:multiLevelType w:val="hybridMultilevel"/>
    <w:tmpl w:val="DE588D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1AB16F5"/>
    <w:multiLevelType w:val="hybridMultilevel"/>
    <w:tmpl w:val="D11CA7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23C60C5"/>
    <w:multiLevelType w:val="hybridMultilevel"/>
    <w:tmpl w:val="4358DF90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64E14599"/>
    <w:multiLevelType w:val="hybridMultilevel"/>
    <w:tmpl w:val="B558A15A"/>
    <w:lvl w:ilvl="0" w:tplc="630E7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56D1EB3"/>
    <w:multiLevelType w:val="hybridMultilevel"/>
    <w:tmpl w:val="CE90FEB8"/>
    <w:lvl w:ilvl="0" w:tplc="57DE4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EBC3E77"/>
    <w:multiLevelType w:val="hybridMultilevel"/>
    <w:tmpl w:val="D1EA7952"/>
    <w:lvl w:ilvl="0" w:tplc="3B022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EF4"/>
    <w:rsid w:val="000006E7"/>
    <w:rsid w:val="000106F4"/>
    <w:rsid w:val="00011D7E"/>
    <w:rsid w:val="0002432F"/>
    <w:rsid w:val="00024E94"/>
    <w:rsid w:val="00045EF4"/>
    <w:rsid w:val="0009373B"/>
    <w:rsid w:val="00095E49"/>
    <w:rsid w:val="000A0934"/>
    <w:rsid w:val="000A0D8D"/>
    <w:rsid w:val="000A20FF"/>
    <w:rsid w:val="000A72F6"/>
    <w:rsid w:val="000C0E7F"/>
    <w:rsid w:val="000C60F1"/>
    <w:rsid w:val="000D60C1"/>
    <w:rsid w:val="00116AF1"/>
    <w:rsid w:val="0012148C"/>
    <w:rsid w:val="00141FED"/>
    <w:rsid w:val="00180E58"/>
    <w:rsid w:val="001934E5"/>
    <w:rsid w:val="00196291"/>
    <w:rsid w:val="001A2D0A"/>
    <w:rsid w:val="001C2DD7"/>
    <w:rsid w:val="00212071"/>
    <w:rsid w:val="0022619E"/>
    <w:rsid w:val="00232287"/>
    <w:rsid w:val="002471D1"/>
    <w:rsid w:val="002713A9"/>
    <w:rsid w:val="002C3206"/>
    <w:rsid w:val="002D1B48"/>
    <w:rsid w:val="002D57F7"/>
    <w:rsid w:val="00312B79"/>
    <w:rsid w:val="0031528A"/>
    <w:rsid w:val="003542E8"/>
    <w:rsid w:val="0037309A"/>
    <w:rsid w:val="003800D3"/>
    <w:rsid w:val="003865CC"/>
    <w:rsid w:val="00395898"/>
    <w:rsid w:val="003B55DD"/>
    <w:rsid w:val="003B7F88"/>
    <w:rsid w:val="003F3255"/>
    <w:rsid w:val="004019B3"/>
    <w:rsid w:val="00404E4A"/>
    <w:rsid w:val="00420893"/>
    <w:rsid w:val="00425193"/>
    <w:rsid w:val="004457E6"/>
    <w:rsid w:val="00462A7E"/>
    <w:rsid w:val="00477CF6"/>
    <w:rsid w:val="00484863"/>
    <w:rsid w:val="004C48AF"/>
    <w:rsid w:val="0050313A"/>
    <w:rsid w:val="00513471"/>
    <w:rsid w:val="00546231"/>
    <w:rsid w:val="00556B95"/>
    <w:rsid w:val="00560D26"/>
    <w:rsid w:val="0056665D"/>
    <w:rsid w:val="00577E58"/>
    <w:rsid w:val="00582907"/>
    <w:rsid w:val="005B1103"/>
    <w:rsid w:val="005C4403"/>
    <w:rsid w:val="00601EBC"/>
    <w:rsid w:val="006051E3"/>
    <w:rsid w:val="00610A62"/>
    <w:rsid w:val="00610F25"/>
    <w:rsid w:val="006148F9"/>
    <w:rsid w:val="006460CE"/>
    <w:rsid w:val="00650E80"/>
    <w:rsid w:val="00667758"/>
    <w:rsid w:val="00671506"/>
    <w:rsid w:val="00671C48"/>
    <w:rsid w:val="00685FF3"/>
    <w:rsid w:val="006B5777"/>
    <w:rsid w:val="006F5AE5"/>
    <w:rsid w:val="00702C68"/>
    <w:rsid w:val="0072299D"/>
    <w:rsid w:val="00755FAA"/>
    <w:rsid w:val="00763629"/>
    <w:rsid w:val="0077314D"/>
    <w:rsid w:val="00784A94"/>
    <w:rsid w:val="00786B69"/>
    <w:rsid w:val="00791E7F"/>
    <w:rsid w:val="007B09F3"/>
    <w:rsid w:val="007B5C0C"/>
    <w:rsid w:val="007D0F2B"/>
    <w:rsid w:val="007E0A7F"/>
    <w:rsid w:val="008024F8"/>
    <w:rsid w:val="00804D6D"/>
    <w:rsid w:val="00813E71"/>
    <w:rsid w:val="008273B8"/>
    <w:rsid w:val="00832B45"/>
    <w:rsid w:val="008501D8"/>
    <w:rsid w:val="00857082"/>
    <w:rsid w:val="00863E62"/>
    <w:rsid w:val="008670B9"/>
    <w:rsid w:val="00871BFD"/>
    <w:rsid w:val="008903EB"/>
    <w:rsid w:val="00896EDC"/>
    <w:rsid w:val="008B0D7B"/>
    <w:rsid w:val="008C2804"/>
    <w:rsid w:val="008D7E16"/>
    <w:rsid w:val="008F3E80"/>
    <w:rsid w:val="008F4135"/>
    <w:rsid w:val="008F488B"/>
    <w:rsid w:val="00904CF8"/>
    <w:rsid w:val="009149D5"/>
    <w:rsid w:val="0094278B"/>
    <w:rsid w:val="00952567"/>
    <w:rsid w:val="00964ACD"/>
    <w:rsid w:val="00990A36"/>
    <w:rsid w:val="00990E1D"/>
    <w:rsid w:val="00994D27"/>
    <w:rsid w:val="009B008E"/>
    <w:rsid w:val="009B7D3B"/>
    <w:rsid w:val="009C1DEE"/>
    <w:rsid w:val="009E4E80"/>
    <w:rsid w:val="00A11478"/>
    <w:rsid w:val="00A46378"/>
    <w:rsid w:val="00A77E2C"/>
    <w:rsid w:val="00A92010"/>
    <w:rsid w:val="00AB4C74"/>
    <w:rsid w:val="00AB65BC"/>
    <w:rsid w:val="00AC2112"/>
    <w:rsid w:val="00AC7AEF"/>
    <w:rsid w:val="00AE1689"/>
    <w:rsid w:val="00AE5390"/>
    <w:rsid w:val="00B06AAF"/>
    <w:rsid w:val="00B30840"/>
    <w:rsid w:val="00B50EE2"/>
    <w:rsid w:val="00B62EEA"/>
    <w:rsid w:val="00B65CE7"/>
    <w:rsid w:val="00B759B1"/>
    <w:rsid w:val="00B962A0"/>
    <w:rsid w:val="00BA700D"/>
    <w:rsid w:val="00BA79B9"/>
    <w:rsid w:val="00BD2D80"/>
    <w:rsid w:val="00BE1ED4"/>
    <w:rsid w:val="00BE57AB"/>
    <w:rsid w:val="00C31CA7"/>
    <w:rsid w:val="00C54F71"/>
    <w:rsid w:val="00C664BA"/>
    <w:rsid w:val="00C7275F"/>
    <w:rsid w:val="00C803D6"/>
    <w:rsid w:val="00CA1C47"/>
    <w:rsid w:val="00CA42B2"/>
    <w:rsid w:val="00CB23B7"/>
    <w:rsid w:val="00CB407A"/>
    <w:rsid w:val="00CD0A1B"/>
    <w:rsid w:val="00CE7CDC"/>
    <w:rsid w:val="00CF5D0F"/>
    <w:rsid w:val="00D2451F"/>
    <w:rsid w:val="00D27B5A"/>
    <w:rsid w:val="00D40EE3"/>
    <w:rsid w:val="00D8025C"/>
    <w:rsid w:val="00DC5797"/>
    <w:rsid w:val="00DD5A7B"/>
    <w:rsid w:val="00DE5CE4"/>
    <w:rsid w:val="00DE5D59"/>
    <w:rsid w:val="00DF4FE9"/>
    <w:rsid w:val="00DF5977"/>
    <w:rsid w:val="00DF6689"/>
    <w:rsid w:val="00E07D34"/>
    <w:rsid w:val="00E1768C"/>
    <w:rsid w:val="00E354E1"/>
    <w:rsid w:val="00E5567F"/>
    <w:rsid w:val="00E62AD7"/>
    <w:rsid w:val="00E81DB6"/>
    <w:rsid w:val="00E95F43"/>
    <w:rsid w:val="00EB7038"/>
    <w:rsid w:val="00ED02D0"/>
    <w:rsid w:val="00F45778"/>
    <w:rsid w:val="00F50507"/>
    <w:rsid w:val="00F57B9C"/>
    <w:rsid w:val="00F63FE6"/>
    <w:rsid w:val="00F65EE9"/>
    <w:rsid w:val="00F67FDA"/>
    <w:rsid w:val="00F72B88"/>
    <w:rsid w:val="00F83879"/>
    <w:rsid w:val="00F90C1F"/>
    <w:rsid w:val="00F92840"/>
    <w:rsid w:val="00F94724"/>
    <w:rsid w:val="00FA418D"/>
    <w:rsid w:val="00FE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77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C4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71C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71C4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71C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71C48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90E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90E1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77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C4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71C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71C4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71C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71C48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90E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90E1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DFFDC-F1F3-4108-B712-E30572C63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NTU</cp:lastModifiedBy>
  <cp:revision>2</cp:revision>
  <cp:lastPrinted>2015-08-18T02:19:00Z</cp:lastPrinted>
  <dcterms:created xsi:type="dcterms:W3CDTF">2016-02-02T06:51:00Z</dcterms:created>
  <dcterms:modified xsi:type="dcterms:W3CDTF">2016-02-02T06:51:00Z</dcterms:modified>
</cp:coreProperties>
</file>