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C2" w:rsidRPr="00736294" w:rsidRDefault="001F75E7" w:rsidP="005005C2">
      <w:pPr>
        <w:widowControl/>
        <w:jc w:val="center"/>
        <w:rPr>
          <w:rFonts w:ascii="標楷體" w:eastAsia="標楷體" w:hAnsi="標楷體"/>
          <w:b/>
          <w:color w:val="000000" w:themeColor="text1"/>
          <w:sz w:val="36"/>
          <w:szCs w:val="36"/>
        </w:rPr>
      </w:pPr>
      <w:bookmarkStart w:id="0" w:name="_GoBack"/>
      <w:bookmarkEnd w:id="0"/>
      <w:r w:rsidRPr="00736294">
        <w:rPr>
          <w:rFonts w:eastAsia="標楷體"/>
          <w:b/>
          <w:color w:val="000000" w:themeColor="text1"/>
          <w:sz w:val="36"/>
          <w:szCs w:val="36"/>
        </w:rPr>
        <w:t>大專校院餐飲衛生輔導</w:t>
      </w:r>
      <w:r w:rsidRPr="00736294">
        <w:rPr>
          <w:rFonts w:eastAsia="標楷體" w:hint="eastAsia"/>
          <w:b/>
          <w:color w:val="000000" w:themeColor="text1"/>
          <w:sz w:val="36"/>
          <w:szCs w:val="36"/>
        </w:rPr>
        <w:t>表</w:t>
      </w:r>
    </w:p>
    <w:tbl>
      <w:tblPr>
        <w:tblpPr w:leftFromText="180" w:rightFromText="180" w:vertAnchor="text" w:horzAnchor="margin" w:tblpXSpec="center" w:tblpY="825"/>
        <w:tblOverlap w:val="never"/>
        <w:tblW w:w="10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8"/>
        <w:gridCol w:w="974"/>
        <w:gridCol w:w="1276"/>
        <w:gridCol w:w="3052"/>
      </w:tblGrid>
      <w:tr w:rsidR="00736294" w:rsidRPr="00736294" w:rsidTr="005005C2">
        <w:trPr>
          <w:trHeight w:val="539"/>
        </w:trPr>
        <w:tc>
          <w:tcPr>
            <w:tcW w:w="10390" w:type="dxa"/>
            <w:gridSpan w:val="4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>一、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學校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>名稱：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(科技)大學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 xml:space="preserve">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  營業地點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     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 </w:t>
            </w:r>
          </w:p>
        </w:tc>
      </w:tr>
      <w:tr w:rsidR="00736294" w:rsidRPr="00736294" w:rsidTr="005005C2">
        <w:trPr>
          <w:trHeight w:val="1392"/>
        </w:trPr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736294" w:rsidRDefault="005005C2" w:rsidP="005005C2">
            <w:pPr>
              <w:spacing w:line="4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b/>
                <w:color w:val="000000" w:themeColor="text1"/>
                <w:szCs w:val="22"/>
              </w:rPr>
              <w:t>二、</w:t>
            </w: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Cs w:val="22"/>
              </w:rPr>
              <w:t>承辦廠商</w:t>
            </w:r>
            <w:r w:rsidRPr="00736294">
              <w:rPr>
                <w:rFonts w:ascii="標楷體" w:eastAsia="標楷體" w:hAnsi="標楷體"/>
                <w:b/>
                <w:color w:val="000000" w:themeColor="text1"/>
                <w:szCs w:val="22"/>
              </w:rPr>
              <w:t>基本資料：</w:t>
            </w:r>
          </w:p>
          <w:p w:rsidR="005005C2" w:rsidRPr="00736294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公司名稱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負責人</w:t>
            </w:r>
            <w:r w:rsidRPr="00736294">
              <w:rPr>
                <w:rFonts w:ascii="新細明體" w:hAnsi="新細明體" w:hint="eastAsia"/>
                <w:color w:val="000000" w:themeColor="text1"/>
                <w:szCs w:val="22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  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>統一編號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 □無 □有：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          </w:t>
            </w:r>
          </w:p>
          <w:p w:rsidR="005005C2" w:rsidRPr="00736294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  <w:szCs w:val="22"/>
              </w:rPr>
              <w:t>電話：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傳真：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mail：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           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</w:t>
            </w:r>
          </w:p>
          <w:p w:rsidR="005005C2" w:rsidRPr="00736294" w:rsidRDefault="005005C2" w:rsidP="005005C2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供應形式： □自助餐廳   □美食街簡餐   □單純販賣無另加工   □其他</w:t>
            </w:r>
            <w:r w:rsidRPr="00736294">
              <w:rPr>
                <w:rFonts w:ascii="標楷體" w:eastAsia="標楷體" w:hAnsi="標楷體"/>
                <w:color w:val="000000" w:themeColor="text1"/>
                <w:szCs w:val="22"/>
                <w:u w:val="single"/>
              </w:rPr>
              <w:t xml:space="preserve">            </w:t>
            </w:r>
          </w:p>
          <w:p w:rsidR="005005C2" w:rsidRPr="00736294" w:rsidRDefault="005005C2" w:rsidP="003124B8">
            <w:pPr>
              <w:pStyle w:val="a8"/>
              <w:numPr>
                <w:ilvl w:val="0"/>
                <w:numId w:val="2"/>
              </w:numPr>
              <w:spacing w:line="440" w:lineRule="exact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每餐供應數</w:t>
            </w:r>
            <w:r w:rsidRPr="00736294">
              <w:rPr>
                <w:rFonts w:ascii="新細明體" w:hAnsi="新細明體" w:hint="eastAsia"/>
                <w:color w:val="000000" w:themeColor="text1"/>
                <w:szCs w:val="22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早餐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人。午餐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人。晚餐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  <w:u w:val="single"/>
              </w:rPr>
              <w:t xml:space="preserve">      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人。</w:t>
            </w:r>
          </w:p>
        </w:tc>
      </w:tr>
      <w:tr w:rsidR="00736294" w:rsidRPr="00736294" w:rsidTr="00EE5C86">
        <w:trPr>
          <w:trHeight w:val="2138"/>
        </w:trPr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736294" w:rsidRDefault="005005C2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Cs w:val="22"/>
              </w:rPr>
              <w:t>三</w:t>
            </w:r>
            <w:r w:rsidRPr="00736294">
              <w:rPr>
                <w:rFonts w:ascii="標楷體" w:eastAsia="標楷體" w:hAnsi="標楷體"/>
                <w:b/>
                <w:color w:val="000000" w:themeColor="text1"/>
                <w:szCs w:val="22"/>
              </w:rPr>
              <w:t>、</w:t>
            </w: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Cs w:val="22"/>
              </w:rPr>
              <w:t>專責人員</w:t>
            </w:r>
            <w:r w:rsidRPr="00736294">
              <w:rPr>
                <w:rFonts w:ascii="標楷體" w:eastAsia="標楷體" w:hAnsi="標楷體"/>
                <w:b/>
                <w:color w:val="000000" w:themeColor="text1"/>
                <w:szCs w:val="22"/>
              </w:rPr>
              <w:t>：</w:t>
            </w:r>
          </w:p>
          <w:p w:rsidR="005005C2" w:rsidRPr="00736294" w:rsidRDefault="005005C2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□領有營養師執業執照   </w:t>
            </w:r>
          </w:p>
          <w:p w:rsidR="005005C2" w:rsidRPr="00736294" w:rsidRDefault="005005C2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 xml:space="preserve">□相關科、系、所畢業，並曾修習餐飲衛生相關課程   </w:t>
            </w:r>
          </w:p>
          <w:p w:rsidR="005005C2" w:rsidRPr="00736294" w:rsidRDefault="005005C2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□大專校院畢業或具同等學力，並具烹調技術士技能檢定監評人員資格</w:t>
            </w:r>
          </w:p>
          <w:p w:rsidR="005005C2" w:rsidRPr="00736294" w:rsidRDefault="005005C2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□餐飲衛生講習課程達三十二小時以上，持有證明者。</w:t>
            </w:r>
          </w:p>
        </w:tc>
      </w:tr>
      <w:tr w:rsidR="00736294" w:rsidRPr="00736294" w:rsidTr="00EE5C86">
        <w:trPr>
          <w:trHeight w:val="385"/>
        </w:trPr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005C2" w:rsidRPr="00736294" w:rsidRDefault="00EE5C86" w:rsidP="005A0CA0">
            <w:pPr>
              <w:spacing w:beforeLines="50" w:before="180" w:afterLines="50" w:after="180"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四、學校承辦廠商是</w:t>
            </w:r>
            <w:r w:rsidR="00F2025A"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否</w:t>
            </w: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自評: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□是    □否</w:t>
            </w:r>
          </w:p>
        </w:tc>
      </w:tr>
      <w:tr w:rsidR="00736294" w:rsidRPr="00736294" w:rsidTr="005005C2">
        <w:tc>
          <w:tcPr>
            <w:tcW w:w="1039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E5C86" w:rsidRPr="00736294" w:rsidRDefault="00EE5C86" w:rsidP="005005C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輔導內容</w:t>
            </w:r>
          </w:p>
        </w:tc>
      </w:tr>
      <w:tr w:rsidR="00736294" w:rsidRPr="00736294" w:rsidTr="005005C2">
        <w:trPr>
          <w:trHeight w:hRule="exact" w:val="912"/>
        </w:trPr>
        <w:tc>
          <w:tcPr>
            <w:tcW w:w="5088" w:type="dxa"/>
            <w:tcBorders>
              <w:top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輔導重點</w:t>
            </w:r>
          </w:p>
        </w:tc>
        <w:tc>
          <w:tcPr>
            <w:tcW w:w="97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編號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★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餐飲衛生指標</w:t>
            </w:r>
          </w:p>
        </w:tc>
        <w:tc>
          <w:tcPr>
            <w:tcW w:w="3052" w:type="dxa"/>
            <w:tcBorders>
              <w:top w:val="sing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備註</w:t>
            </w:r>
          </w:p>
          <w:p w:rsidR="005005C2" w:rsidRPr="00736294" w:rsidRDefault="005005C2" w:rsidP="005005C2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(★號為必要法定項目指標)</w:t>
            </w: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(一)作業場所設施規劃、維護與管理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1～5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(二)從業人員衛生管理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6～8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6、7</w:t>
            </w:r>
          </w:p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健康檢查/受訓8小時</w:t>
            </w: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(三)用水衛生與洗手及其設備的管理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9～10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(四)食品及其原料之採購、驗收、處理及貯存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11～16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12</w:t>
            </w: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基因改造食品</w:t>
            </w: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(五)食品烹調與製備的衛生管理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17～23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(六)配膳及供膳的衛生管理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24～25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(七)用餐場所及用餐盛具衛生管理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26～31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(八)廢棄物處理與病媒管制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32～37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35</w:t>
            </w: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產品留樣</w:t>
            </w:r>
          </w:p>
        </w:tc>
      </w:tr>
      <w:tr w:rsidR="00736294" w:rsidRPr="00736294" w:rsidTr="005005C2">
        <w:trPr>
          <w:trHeight w:hRule="exact" w:val="624"/>
        </w:trPr>
        <w:tc>
          <w:tcPr>
            <w:tcW w:w="5088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(九)校園食材登錄平臺</w:t>
            </w:r>
          </w:p>
        </w:tc>
        <w:tc>
          <w:tcPr>
            <w:tcW w:w="9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38</w:t>
            </w:r>
          </w:p>
        </w:tc>
        <w:tc>
          <w:tcPr>
            <w:tcW w:w="1276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38</w:t>
            </w:r>
          </w:p>
        </w:tc>
        <w:tc>
          <w:tcPr>
            <w:tcW w:w="3052" w:type="dxa"/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登錄</w:t>
            </w:r>
          </w:p>
        </w:tc>
      </w:tr>
      <w:tr w:rsidR="00736294" w:rsidRPr="00736294" w:rsidTr="007B7F38">
        <w:trPr>
          <w:trHeight w:hRule="exact" w:val="624"/>
        </w:trPr>
        <w:tc>
          <w:tcPr>
            <w:tcW w:w="5088" w:type="dxa"/>
            <w:tcBorders>
              <w:bottom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(十)其他管理事項</w:t>
            </w:r>
          </w:p>
        </w:tc>
        <w:tc>
          <w:tcPr>
            <w:tcW w:w="974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Cs w:val="22"/>
              </w:rPr>
              <w:t>39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052" w:type="dxa"/>
            <w:tcBorders>
              <w:bottom w:val="double" w:sz="4" w:space="0" w:color="auto"/>
            </w:tcBorders>
            <w:vAlign w:val="center"/>
          </w:tcPr>
          <w:p w:rsidR="005005C2" w:rsidRPr="00736294" w:rsidRDefault="005005C2" w:rsidP="005005C2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</w:tbl>
    <w:p w:rsidR="001F75E7" w:rsidRPr="00736294" w:rsidRDefault="005005C2" w:rsidP="00CC032D">
      <w:pPr>
        <w:widowControl/>
        <w:ind w:leftChars="-295" w:left="-708"/>
        <w:rPr>
          <w:rFonts w:ascii="標楷體" w:eastAsia="標楷體" w:hAnsi="標楷體"/>
          <w:b/>
          <w:color w:val="000000" w:themeColor="text1"/>
          <w:sz w:val="36"/>
          <w:szCs w:val="36"/>
        </w:rPr>
      </w:pPr>
      <w:r w:rsidRPr="00736294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壹、</w:t>
      </w:r>
      <w:r w:rsidR="001F75E7" w:rsidRPr="00736294">
        <w:rPr>
          <w:rFonts w:eastAsia="標楷體" w:hint="eastAsia"/>
          <w:b/>
          <w:color w:val="000000" w:themeColor="text1"/>
          <w:sz w:val="36"/>
          <w:szCs w:val="36"/>
        </w:rPr>
        <w:t>廠商輔導基本資料</w:t>
      </w:r>
    </w:p>
    <w:p w:rsidR="001F75E7" w:rsidRPr="00736294" w:rsidRDefault="001F75E7" w:rsidP="00CC032D">
      <w:pPr>
        <w:widowControl/>
        <w:ind w:leftChars="-295" w:left="-708"/>
        <w:rPr>
          <w:rFonts w:eastAsia="標楷體"/>
          <w:b/>
          <w:color w:val="000000" w:themeColor="text1"/>
          <w:sz w:val="36"/>
          <w:szCs w:val="36"/>
        </w:rPr>
      </w:pPr>
      <w:r w:rsidRPr="00736294">
        <w:rPr>
          <w:rFonts w:eastAsia="標楷體"/>
          <w:b/>
          <w:color w:val="000000" w:themeColor="text1"/>
          <w:sz w:val="36"/>
          <w:szCs w:val="36"/>
        </w:rPr>
        <w:br w:type="page"/>
      </w:r>
      <w:r w:rsidR="00CC032D" w:rsidRPr="00736294">
        <w:rPr>
          <w:rFonts w:eastAsia="標楷體" w:hint="eastAsia"/>
          <w:b/>
          <w:color w:val="000000" w:themeColor="text1"/>
          <w:sz w:val="36"/>
          <w:szCs w:val="36"/>
        </w:rPr>
        <w:lastRenderedPageBreak/>
        <w:t>貳、</w:t>
      </w:r>
      <w:r w:rsidRPr="00736294">
        <w:rPr>
          <w:rFonts w:eastAsia="標楷體"/>
          <w:b/>
          <w:color w:val="000000" w:themeColor="text1"/>
          <w:sz w:val="36"/>
          <w:szCs w:val="36"/>
        </w:rPr>
        <w:t>大專校院餐飲衛生輔導表</w:t>
      </w:r>
      <w:r w:rsidRPr="00736294">
        <w:rPr>
          <w:rFonts w:eastAsia="標楷體" w:hint="eastAsia"/>
          <w:b/>
          <w:color w:val="000000" w:themeColor="text1"/>
          <w:sz w:val="36"/>
          <w:szCs w:val="36"/>
        </w:rPr>
        <w:t>單</w:t>
      </w:r>
    </w:p>
    <w:tbl>
      <w:tblPr>
        <w:tblW w:w="103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3"/>
        <w:gridCol w:w="706"/>
        <w:gridCol w:w="4405"/>
        <w:gridCol w:w="4406"/>
        <w:gridCol w:w="72"/>
      </w:tblGrid>
      <w:tr w:rsidR="00736294" w:rsidRPr="00736294" w:rsidTr="004B4074">
        <w:trPr>
          <w:gridAfter w:val="1"/>
          <w:wAfter w:w="73" w:type="dxa"/>
          <w:trHeight w:val="448"/>
          <w:tblHeader/>
          <w:jc w:val="center"/>
        </w:trPr>
        <w:tc>
          <w:tcPr>
            <w:tcW w:w="717" w:type="dxa"/>
            <w:gridSpan w:val="2"/>
            <w:vAlign w:val="center"/>
          </w:tcPr>
          <w:p w:rsidR="00EE5C86" w:rsidRPr="00736294" w:rsidRDefault="00EE5C86" w:rsidP="00A13D0B">
            <w:pPr>
              <w:spacing w:line="240" w:lineRule="exact"/>
              <w:jc w:val="center"/>
              <w:rPr>
                <w:rFonts w:eastAsia="標楷體"/>
                <w:color w:val="000000" w:themeColor="text1"/>
              </w:rPr>
            </w:pPr>
            <w:r w:rsidRPr="00736294">
              <w:rPr>
                <w:rFonts w:eastAsia="標楷體"/>
                <w:color w:val="000000" w:themeColor="text1"/>
              </w:rPr>
              <w:t>檢查項目</w:t>
            </w:r>
          </w:p>
        </w:tc>
        <w:tc>
          <w:tcPr>
            <w:tcW w:w="710" w:type="dxa"/>
            <w:vAlign w:val="center"/>
          </w:tcPr>
          <w:p w:rsidR="00EE5C86" w:rsidRPr="00736294" w:rsidRDefault="00EE5C86" w:rsidP="00A13D0B">
            <w:pPr>
              <w:spacing w:line="360" w:lineRule="exact"/>
              <w:jc w:val="center"/>
              <w:rPr>
                <w:rFonts w:eastAsia="標楷體"/>
                <w:color w:val="000000" w:themeColor="text1"/>
              </w:rPr>
            </w:pPr>
            <w:r w:rsidRPr="00736294">
              <w:rPr>
                <w:rFonts w:eastAsia="標楷體"/>
                <w:color w:val="000000" w:themeColor="text1"/>
              </w:rPr>
              <w:t>編號</w:t>
            </w:r>
          </w:p>
        </w:tc>
        <w:tc>
          <w:tcPr>
            <w:tcW w:w="4440" w:type="dxa"/>
            <w:vAlign w:val="center"/>
          </w:tcPr>
          <w:p w:rsidR="00EE5C86" w:rsidRPr="00736294" w:rsidRDefault="00EE5C86" w:rsidP="00A13D0B">
            <w:pPr>
              <w:spacing w:line="360" w:lineRule="exact"/>
              <w:jc w:val="center"/>
              <w:rPr>
                <w:rFonts w:eastAsia="標楷體"/>
                <w:color w:val="000000" w:themeColor="text1"/>
              </w:rPr>
            </w:pPr>
            <w:r w:rsidRPr="00736294">
              <w:rPr>
                <w:rFonts w:eastAsia="標楷體"/>
                <w:color w:val="000000" w:themeColor="text1"/>
              </w:rPr>
              <w:t>內容說明</w:t>
            </w:r>
          </w:p>
        </w:tc>
        <w:tc>
          <w:tcPr>
            <w:tcW w:w="4441" w:type="dxa"/>
            <w:vAlign w:val="center"/>
          </w:tcPr>
          <w:p w:rsidR="00EE5C86" w:rsidRPr="00736294" w:rsidRDefault="00EE5C86" w:rsidP="00A13D0B">
            <w:pPr>
              <w:spacing w:line="360" w:lineRule="exact"/>
              <w:jc w:val="center"/>
              <w:rPr>
                <w:rFonts w:eastAsia="標楷體"/>
                <w:color w:val="000000" w:themeColor="text1"/>
              </w:rPr>
            </w:pPr>
            <w:r w:rsidRPr="00736294">
              <w:rPr>
                <w:rFonts w:eastAsia="標楷體"/>
                <w:color w:val="000000" w:themeColor="text1"/>
                <w:szCs w:val="22"/>
              </w:rPr>
              <w:t>輔導結果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作業場所設施規劃、維護與管理</w:t>
            </w:r>
          </w:p>
        </w:tc>
        <w:tc>
          <w:tcPr>
            <w:tcW w:w="710" w:type="dxa"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4440" w:type="dxa"/>
            <w:vAlign w:val="center"/>
          </w:tcPr>
          <w:p w:rsidR="00EE5C86" w:rsidRPr="00736294" w:rsidRDefault="00EE5C86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各作業場所(前處理、製備、配膳、供膳、倉儲區等)應適當區隔(包含時間區隔與空間區隔)，且有良好通風及排氣。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 □部分符合 □不符合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□不適用</w:t>
            </w:r>
          </w:p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4440" w:type="dxa"/>
            <w:vAlign w:val="center"/>
          </w:tcPr>
          <w:p w:rsidR="007B7F38" w:rsidRPr="00736294" w:rsidRDefault="00EE5C86" w:rsidP="005D036A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應設層架、推車分別用於放置食品及物料等，以避免生熟食交叉污染。</w:t>
            </w:r>
          </w:p>
        </w:tc>
        <w:tc>
          <w:tcPr>
            <w:tcW w:w="4441" w:type="dxa"/>
          </w:tcPr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EE5C86" w:rsidRPr="00736294" w:rsidRDefault="00EE5C86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4440" w:type="dxa"/>
            <w:vAlign w:val="center"/>
          </w:tcPr>
          <w:p w:rsidR="00EE5C86" w:rsidRPr="00736294" w:rsidRDefault="00EE5C86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作業場所之地面、牆壁、天花板、支柱、屋頂、燈飾、紗門等應保持清潔、避免積水或濕滑。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EE5C86" w:rsidRPr="00736294" w:rsidRDefault="00EE5C86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A13D0B" w:rsidRPr="00736294" w:rsidRDefault="00A13D0B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A13D0B" w:rsidRPr="00736294" w:rsidRDefault="00A13D0B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4440" w:type="dxa"/>
            <w:vAlign w:val="center"/>
          </w:tcPr>
          <w:p w:rsidR="007B7F38" w:rsidRPr="00736294" w:rsidRDefault="00A13D0B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作業場所排水設施須通暢，應有截油設備及防治病媒入侵之設施；截油設施應經常清理維持清潔。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A13D0B" w:rsidRPr="00736294" w:rsidRDefault="00A13D0B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A13D0B" w:rsidRPr="00736294" w:rsidRDefault="00A13D0B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5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定期確認業者每日填寫大專校院餐飲衛生管理檢查表是否落實。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從業人員衛生管理</w:t>
            </w:r>
          </w:p>
        </w:tc>
        <w:tc>
          <w:tcPr>
            <w:tcW w:w="710" w:type="dxa"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6</w:t>
            </w:r>
          </w:p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cs="Segoe UI Symbol"/>
                <w:color w:val="000000" w:themeColor="text1"/>
              </w:rPr>
              <w:t>★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7B7F38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從業人員應健康檢查，檢查項目：肺結核、手部皮膚病、A型肝炎、傷寒、出疹、膿瘡、外傷、眼疾等；從業期間每年健康檢查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次，並保有完整紀錄。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7</w:t>
            </w:r>
          </w:p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cs="Segoe UI Symbol"/>
                <w:color w:val="000000" w:themeColor="text1"/>
              </w:rPr>
              <w:t>★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從業人員1年應至少受訓衛生講習8小時。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7B7F38" w:rsidRPr="00736294" w:rsidRDefault="007B7F38" w:rsidP="00A13D0B">
            <w:pPr>
              <w:spacing w:line="408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5D036A">
            <w:pPr>
              <w:spacing w:line="408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從業人員應穿戴整齊清潔的工作衣帽，頭髮需有效覆蓋或戴網帽。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408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textDirection w:val="tbRlV"/>
            <w:vAlign w:val="center"/>
          </w:tcPr>
          <w:p w:rsidR="007B7F38" w:rsidRPr="00736294" w:rsidRDefault="007B7F38" w:rsidP="007B7F38">
            <w:pPr>
              <w:spacing w:line="390" w:lineRule="atLeast"/>
              <w:ind w:left="113" w:right="113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7B7F38" w:rsidRPr="00736294" w:rsidRDefault="007B7F38" w:rsidP="007B7F38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5D036A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作業場所應於適當處所設洗手相關設備，其設施須適當的維護及可用。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7B7F38" w:rsidRPr="00736294" w:rsidRDefault="007B7F38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7B7F38" w:rsidRPr="00736294" w:rsidRDefault="007B7F38" w:rsidP="007B7F38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10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洗手處所應有標示洗手醒語或圖示，從業人員要遵守正確洗手之步驟，從手指、手掌到手腕確實清洗(包括可能觸到食物的地方)。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7B7F38" w:rsidRPr="00736294" w:rsidRDefault="007B7F38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食品及其原料之採購、驗收、處理及貯存</w:t>
            </w:r>
          </w:p>
        </w:tc>
        <w:tc>
          <w:tcPr>
            <w:tcW w:w="710" w:type="dxa"/>
            <w:vAlign w:val="center"/>
          </w:tcPr>
          <w:p w:rsidR="007B7F38" w:rsidRPr="00736294" w:rsidRDefault="007B7F38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11</w:t>
            </w:r>
          </w:p>
        </w:tc>
        <w:tc>
          <w:tcPr>
            <w:tcW w:w="4440" w:type="dxa"/>
            <w:vAlign w:val="center"/>
          </w:tcPr>
          <w:p w:rsidR="007B7F38" w:rsidRPr="00736294" w:rsidRDefault="007B7F38" w:rsidP="007B7F38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食品需有驗收紀錄：包裝食品應有完整包裝及明確標示，須符合相關規定。散裝食品之驗收紀錄需包括進貨廠商或購置來源、產品名稱、進貨日期、進貨量等。</w:t>
            </w:r>
          </w:p>
        </w:tc>
        <w:tc>
          <w:tcPr>
            <w:tcW w:w="4441" w:type="dxa"/>
          </w:tcPr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7B7F38" w:rsidRPr="00736294" w:rsidRDefault="007B7F38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12</w:t>
            </w:r>
          </w:p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cs="Segoe UI Symbol"/>
                <w:color w:val="000000" w:themeColor="text1"/>
              </w:rPr>
              <w:t>★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B663CB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禁止使用含基因改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>造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之生鮮食材及其初級加工品（黃豆、玉米、豆漿、豆腐、豆花、豆乾、豆皮、大豆蛋白製得之素肉等）。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13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B663CB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冷藏食品品溫應保持在7</w:t>
            </w:r>
            <w:r w:rsidRPr="00736294">
              <w:rPr>
                <w:rFonts w:ascii="標楷體" w:eastAsia="標楷體" w:hAnsi="標楷體" w:cs="新細明體" w:hint="eastAsia"/>
                <w:color w:val="000000" w:themeColor="text1"/>
              </w:rPr>
              <w:t>℃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以下，凍結點以上，冷凍食品品溫應保持在-18</w:t>
            </w:r>
            <w:r w:rsidRPr="00736294">
              <w:rPr>
                <w:rFonts w:ascii="標楷體" w:eastAsia="標楷體" w:hAnsi="標楷體" w:cs="新細明體" w:hint="eastAsia"/>
                <w:color w:val="000000" w:themeColor="text1"/>
              </w:rPr>
              <w:t>℃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以下。並可由冷凍/冷藏庫房外部檢視溫度及保持清潔。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14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冷凍/冷藏庫房應設層架管理，食品、半成品、生熟食等應分類、分區，離地離牆存放且先進先出。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15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冷凍食品解凍方式及條件應正確，避免暴露於室溫下解凍，食物解凍及處理應避免與其他食品交叉污染。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39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16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390" w:lineRule="atLeas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前處理完成備用的食品及半成品應妥善放置，食材應完整包裝，避免交叉污染。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390" w:lineRule="atLeas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食品烹調與製備的衛生管理</w:t>
            </w: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17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食物製備使用之器具、設備應隨時保持清潔及定期消毒。毛巾、抹布及餐具宜每天消毒。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18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盛裝生食與熟食之容器應明顯區分，防止生熟食交叉污染(烹調完成之菜餚不可受污染)。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363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19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B663CB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切割生、熟食的刀具及砧板應至少兩套以上，並分開使用與管理，防止生熟食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lastRenderedPageBreak/>
              <w:t>交叉污染，切割熟食品時應戴乾淨手套與口罩。切割不再加熱即可食用之蔬果必須使用非木質砧板。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lastRenderedPageBreak/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lastRenderedPageBreak/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20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刀具及砧板使用後應確實洗淨殺菌，並不得有裂縫，不用時應側放或懸掛以保持乾燥。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21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備料區及烹調區應隨時保持清潔，避免太多食物殘渣、垃圾等留置工作檯上及地面。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22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食用冰塊須符合衛生規定，每年至少抽驗一次。冰鏟不應放置製冰機內。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備有更換炸油紀錄表（日期及換油量），及油品質測試紀錄。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B663CB" w:rsidRPr="00736294" w:rsidRDefault="00B663CB" w:rsidP="00DA08B7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配膳及供膳的衛生管理</w:t>
            </w: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24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配膳區應避免與食品、半成品或其它器具、容器有交叉污染之機會。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44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25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44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食品之熱藏，溫度應保持在攝氏60</w:t>
            </w:r>
            <w:r w:rsidRPr="00736294">
              <w:rPr>
                <w:rFonts w:ascii="標楷體" w:eastAsia="標楷體" w:hAnsi="標楷體" w:cs="新細明體" w:hint="eastAsia"/>
                <w:color w:val="000000" w:themeColor="text1"/>
              </w:rPr>
              <w:t>℃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以上，且不可有過期或變質、腐壞食品。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44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B663CB" w:rsidRPr="00736294" w:rsidRDefault="00B663CB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用餐場所及用餐盛具衛生管理</w:t>
            </w:r>
          </w:p>
        </w:tc>
        <w:tc>
          <w:tcPr>
            <w:tcW w:w="710" w:type="dxa"/>
            <w:vAlign w:val="center"/>
          </w:tcPr>
          <w:p w:rsidR="00B663CB" w:rsidRPr="00736294" w:rsidRDefault="00B663CB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26</w:t>
            </w:r>
          </w:p>
        </w:tc>
        <w:tc>
          <w:tcPr>
            <w:tcW w:w="4440" w:type="dxa"/>
            <w:vAlign w:val="center"/>
          </w:tcPr>
          <w:p w:rsidR="00B663CB" w:rsidRPr="00736294" w:rsidRDefault="00B663CB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不得以有缺口、裂縫、變形、變色或脫色之餐具盛放食品或供人使用。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B663CB" w:rsidRPr="00736294" w:rsidRDefault="00B663CB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B663CB" w:rsidRPr="00736294" w:rsidRDefault="00B663CB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27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餐具之洗滌應具有標準式三槽式洗滌之效果，洗滌殺菌後不得再以抹布擦拭餐具；若餐具洗滌外包則應確認清潔度且有完整覆蓋。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28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洗滌餐具時，應以食品用洗潔劑，不得使用洗衣粉洗滌。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 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29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乾淨餐具之存放不得有污染之慮。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30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自助餐等配膳人員供膳時需配戴口罩，直接碰觸食品時應配戴丟棄式衛生手套。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349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31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配膳與收銀作業不得有相互汙染行為。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349"/>
          <w:jc w:val="center"/>
        </w:trPr>
        <w:tc>
          <w:tcPr>
            <w:tcW w:w="717" w:type="dxa"/>
            <w:gridSpan w:val="2"/>
            <w:vMerge w:val="restart"/>
            <w:textDirection w:val="tbRlV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廢棄物處理與病媒管制</w:t>
            </w: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32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作業場所(含前處理、烹調製備場所、配膳區等)，應有防止及排除病媒或其他有害動物措施(如紗門、紗窗、空氣簾等)。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349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33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環境衛生用藥與用具、化學藥劑等應明顯標示，並有專櫃(專區)存放、專人管理或紀錄，不得放於食品處理區或食品貯存區。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2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34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有效及定期的病媒防治措施(備消毒紀錄)。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 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2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349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35</w:t>
            </w:r>
          </w:p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cs="Segoe UI Symbol"/>
                <w:color w:val="000000" w:themeColor="text1"/>
              </w:rPr>
              <w:t>★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每日製作完成之高水活性、低酸性食品菜餚，應依規定分類密封適量留存置於7</w:t>
            </w:r>
            <w:r w:rsidRPr="00736294">
              <w:rPr>
                <w:rFonts w:ascii="標楷體" w:eastAsia="標楷體" w:hAnsi="標楷體" w:cs="新細明體" w:hint="eastAsia"/>
                <w:color w:val="000000" w:themeColor="text1"/>
              </w:rPr>
              <w:t>℃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以下冷藏冰箱48小時，並記錄備查。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36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應定期抽驗業者製作之食品是否符合相關衛生標準，並記錄備查。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trHeight w:val="1304"/>
          <w:jc w:val="center"/>
        </w:trPr>
        <w:tc>
          <w:tcPr>
            <w:tcW w:w="717" w:type="dxa"/>
            <w:gridSpan w:val="2"/>
            <w:vMerge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37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作業場所及餐廳內，不得住宿及飼養寵物。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□部分符合</w:t>
            </w:r>
            <w:r w:rsidR="004B4074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2069"/>
          <w:jc w:val="center"/>
        </w:trPr>
        <w:tc>
          <w:tcPr>
            <w:tcW w:w="717" w:type="dxa"/>
            <w:gridSpan w:val="2"/>
            <w:textDirection w:val="tbRlV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校園食材登錄平臺</w:t>
            </w: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38</w:t>
            </w:r>
          </w:p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cs="Segoe UI Symbol"/>
                <w:color w:val="000000" w:themeColor="text1"/>
              </w:rPr>
              <w:t>★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定期至平臺登載供餐之主食材原料、品名、供應商等資訊。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 □部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>分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符合（有缺漏） □無填寫</w:t>
            </w:r>
          </w:p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4B4074">
        <w:trPr>
          <w:gridAfter w:val="1"/>
          <w:wAfter w:w="73" w:type="dxa"/>
          <w:cantSplit/>
          <w:trHeight w:val="1545"/>
          <w:jc w:val="center"/>
        </w:trPr>
        <w:tc>
          <w:tcPr>
            <w:tcW w:w="717" w:type="dxa"/>
            <w:gridSpan w:val="2"/>
            <w:textDirection w:val="tbRlV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lastRenderedPageBreak/>
              <w:t>其他管理事項</w:t>
            </w:r>
          </w:p>
        </w:tc>
        <w:tc>
          <w:tcPr>
            <w:tcW w:w="710" w:type="dxa"/>
            <w:vAlign w:val="center"/>
          </w:tcPr>
          <w:p w:rsidR="005D036A" w:rsidRPr="00736294" w:rsidRDefault="005D036A" w:rsidP="00A13D0B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39</w:t>
            </w:r>
          </w:p>
        </w:tc>
        <w:tc>
          <w:tcPr>
            <w:tcW w:w="4440" w:type="dxa"/>
            <w:vAlign w:val="center"/>
          </w:tcPr>
          <w:p w:rsidR="005D036A" w:rsidRPr="00736294" w:rsidRDefault="005D036A" w:rsidP="005D036A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廠商契約內有訂定違約記點、處罰標準或罰則。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4441" w:type="dxa"/>
          </w:tcPr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□符合□部分符合</w:t>
            </w:r>
            <w:r w:rsidR="00F2025A"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36294">
              <w:rPr>
                <w:rFonts w:ascii="標楷體" w:eastAsia="標楷體" w:hAnsi="標楷體"/>
                <w:color w:val="000000" w:themeColor="text1"/>
              </w:rPr>
              <w:t>□不符合 □不適用</w:t>
            </w:r>
          </w:p>
          <w:p w:rsidR="005D036A" w:rsidRPr="00736294" w:rsidRDefault="005D036A" w:rsidP="00A13D0B">
            <w:pPr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/>
                <w:color w:val="000000" w:themeColor="text1"/>
              </w:rPr>
              <w:t>原因：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 xml:space="preserve">             </w:t>
            </w:r>
          </w:p>
        </w:tc>
      </w:tr>
      <w:tr w:rsidR="00736294" w:rsidRPr="00736294" w:rsidTr="007B7F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cantSplit/>
          <w:trHeight w:val="490"/>
          <w:jc w:val="center"/>
        </w:trPr>
        <w:tc>
          <w:tcPr>
            <w:tcW w:w="10301" w:type="dxa"/>
            <w:gridSpan w:val="5"/>
            <w:tcBorders>
              <w:bottom w:val="nil"/>
            </w:tcBorders>
            <w:vAlign w:val="center"/>
          </w:tcPr>
          <w:p w:rsidR="001F75E7" w:rsidRPr="00736294" w:rsidRDefault="001F75E7" w:rsidP="001F75E7">
            <w:pPr>
              <w:numPr>
                <w:ilvl w:val="0"/>
                <w:numId w:val="1"/>
              </w:numPr>
              <w:spacing w:line="480" w:lineRule="exact"/>
              <w:ind w:left="0"/>
              <w:jc w:val="both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一、合計：</w:t>
            </w:r>
          </w:p>
          <w:p w:rsidR="001F75E7" w:rsidRPr="00736294" w:rsidRDefault="001F75E7" w:rsidP="00A13D0B">
            <w:pPr>
              <w:spacing w:line="480" w:lineRule="exact"/>
              <w:ind w:firstLineChars="200" w:firstLine="561"/>
              <w:jc w:val="both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 xml:space="preserve">符合數     個。          部分符合數     個。      </w:t>
            </w:r>
          </w:p>
          <w:p w:rsidR="001F75E7" w:rsidRPr="00736294" w:rsidRDefault="001F75E7" w:rsidP="00A13D0B">
            <w:pPr>
              <w:spacing w:line="480" w:lineRule="exact"/>
              <w:ind w:firstLineChars="200" w:firstLine="561"/>
              <w:jc w:val="both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不符合數     個。        不適用數     個</w:t>
            </w:r>
          </w:p>
        </w:tc>
      </w:tr>
      <w:tr w:rsidR="001F75E7" w:rsidRPr="00736294" w:rsidTr="007B7F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cantSplit/>
          <w:trHeight w:val="1559"/>
          <w:jc w:val="center"/>
        </w:trPr>
        <w:tc>
          <w:tcPr>
            <w:tcW w:w="10301" w:type="dxa"/>
            <w:gridSpan w:val="5"/>
            <w:tcBorders>
              <w:top w:val="nil"/>
            </w:tcBorders>
          </w:tcPr>
          <w:p w:rsidR="001F75E7" w:rsidRPr="00736294" w:rsidRDefault="001F75E7" w:rsidP="005A0CA0">
            <w:pPr>
              <w:spacing w:beforeLines="100" w:before="360" w:line="48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二、待改善事項；須在規定時間內回傳改善前後對應表</w:t>
            </w:r>
          </w:p>
          <w:p w:rsidR="001F75E7" w:rsidRPr="00736294" w:rsidRDefault="001F75E7" w:rsidP="00A13D0B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於  年  月  日前，</w:t>
            </w:r>
            <w:hyperlink r:id="rId9" w:history="1">
              <w:r w:rsidRPr="00736294">
                <w:rPr>
                  <w:rFonts w:ascii="標楷體" w:eastAsia="標楷體" w:hAnsi="標楷體" w:hint="eastAsia"/>
                  <w:color w:val="000000" w:themeColor="text1"/>
                  <w:sz w:val="22"/>
                  <w:szCs w:val="22"/>
                </w:rPr>
                <w:t>將缺失改善前後對應表(照片呈現) mail至haccppmp@gmail.com</w:t>
              </w:r>
            </w:hyperlink>
            <w:r w:rsidRPr="00736294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 xml:space="preserve">  廖文霨先生收</w:t>
            </w:r>
          </w:p>
          <w:p w:rsidR="00DA08B7" w:rsidRPr="00736294" w:rsidRDefault="00DA08B7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  <w:p w:rsidR="00DA08B7" w:rsidRPr="00736294" w:rsidRDefault="00DA08B7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  <w:p w:rsidR="00DA08B7" w:rsidRPr="00736294" w:rsidRDefault="00DA08B7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  <w:p w:rsidR="001E1462" w:rsidRPr="00736294" w:rsidRDefault="001E1462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  <w:p w:rsidR="001E1462" w:rsidRPr="00736294" w:rsidRDefault="001E1462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  <w:p w:rsidR="00DA08B7" w:rsidRPr="00736294" w:rsidRDefault="00DA08B7" w:rsidP="00DA08B7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</w:tc>
      </w:tr>
    </w:tbl>
    <w:p w:rsidR="00F2025A" w:rsidRPr="00736294" w:rsidRDefault="00F2025A" w:rsidP="001F75E7">
      <w:pPr>
        <w:widowControl/>
        <w:rPr>
          <w:rFonts w:eastAsia="標楷體"/>
          <w:color w:val="000000" w:themeColor="text1"/>
          <w:sz w:val="26"/>
          <w:szCs w:val="26"/>
        </w:rPr>
      </w:pPr>
    </w:p>
    <w:tbl>
      <w:tblPr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35"/>
        <w:gridCol w:w="5037"/>
      </w:tblGrid>
      <w:tr w:rsidR="00736294" w:rsidRPr="00736294" w:rsidTr="00BE463F">
        <w:trPr>
          <w:cantSplit/>
          <w:trHeight w:val="461"/>
          <w:jc w:val="center"/>
        </w:trPr>
        <w:tc>
          <w:tcPr>
            <w:tcW w:w="10072" w:type="dxa"/>
            <w:gridSpan w:val="2"/>
            <w:vAlign w:val="center"/>
          </w:tcPr>
          <w:p w:rsidR="00BE463F" w:rsidRPr="00736294" w:rsidRDefault="00BE463F" w:rsidP="00CE5F24">
            <w:pPr>
              <w:spacing w:line="400" w:lineRule="exact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三、</w:t>
            </w:r>
            <w:r w:rsidR="00CE5F24"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是否有</w:t>
            </w: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足以擔全國大專院校餐飲衛生之楷模事項：</w:t>
            </w:r>
          </w:p>
        </w:tc>
      </w:tr>
      <w:tr w:rsidR="00736294" w:rsidRPr="00736294" w:rsidTr="00BE463F">
        <w:trPr>
          <w:cantSplit/>
          <w:trHeight w:val="417"/>
          <w:jc w:val="center"/>
        </w:trPr>
        <w:tc>
          <w:tcPr>
            <w:tcW w:w="5035" w:type="dxa"/>
          </w:tcPr>
          <w:p w:rsidR="00BE463F" w:rsidRPr="00736294" w:rsidRDefault="00BE463F" w:rsidP="00A13D0B">
            <w:pPr>
              <w:spacing w:line="48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</w:rPr>
              <w:t>：</w:t>
            </w:r>
          </w:p>
        </w:tc>
        <w:tc>
          <w:tcPr>
            <w:tcW w:w="5037" w:type="dxa"/>
          </w:tcPr>
          <w:p w:rsidR="00BE463F" w:rsidRPr="00736294" w:rsidRDefault="00BE463F" w:rsidP="00A13D0B">
            <w:pPr>
              <w:spacing w:line="48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</w:rPr>
              <w:t>：</w:t>
            </w:r>
          </w:p>
        </w:tc>
      </w:tr>
      <w:tr w:rsidR="00736294" w:rsidRPr="00736294" w:rsidTr="001E1462">
        <w:trPr>
          <w:cantSplit/>
          <w:trHeight w:val="2292"/>
          <w:jc w:val="center"/>
        </w:trPr>
        <w:tc>
          <w:tcPr>
            <w:tcW w:w="5035" w:type="dxa"/>
            <w:vAlign w:val="center"/>
          </w:tcPr>
          <w:p w:rsidR="00BE463F" w:rsidRPr="00736294" w:rsidRDefault="00BE463F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  <w:tc>
          <w:tcPr>
            <w:tcW w:w="5037" w:type="dxa"/>
            <w:vAlign w:val="center"/>
          </w:tcPr>
          <w:p w:rsidR="00BE463F" w:rsidRPr="00736294" w:rsidRDefault="00BE463F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</w:tr>
      <w:tr w:rsidR="00736294" w:rsidRPr="00736294" w:rsidTr="00A13D0B">
        <w:trPr>
          <w:cantSplit/>
          <w:trHeight w:val="319"/>
          <w:jc w:val="center"/>
        </w:trPr>
        <w:tc>
          <w:tcPr>
            <w:tcW w:w="5035" w:type="dxa"/>
          </w:tcPr>
          <w:p w:rsidR="00BE463F" w:rsidRPr="00736294" w:rsidRDefault="00BE463F" w:rsidP="00BE463F">
            <w:pPr>
              <w:spacing w:line="48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</w:rPr>
              <w:t>：</w:t>
            </w:r>
          </w:p>
        </w:tc>
        <w:tc>
          <w:tcPr>
            <w:tcW w:w="5037" w:type="dxa"/>
          </w:tcPr>
          <w:p w:rsidR="00BE463F" w:rsidRPr="00736294" w:rsidRDefault="00BE463F" w:rsidP="00BE463F">
            <w:pPr>
              <w:spacing w:line="480" w:lineRule="exact"/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</w:rPr>
              <w:t>：</w:t>
            </w:r>
          </w:p>
        </w:tc>
      </w:tr>
      <w:tr w:rsidR="00BE463F" w:rsidRPr="00736294" w:rsidTr="00BE463F">
        <w:trPr>
          <w:cantSplit/>
          <w:trHeight w:val="319"/>
          <w:jc w:val="center"/>
        </w:trPr>
        <w:tc>
          <w:tcPr>
            <w:tcW w:w="5035" w:type="dxa"/>
            <w:vAlign w:val="center"/>
          </w:tcPr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5037" w:type="dxa"/>
            <w:vAlign w:val="center"/>
          </w:tcPr>
          <w:p w:rsidR="00BE463F" w:rsidRPr="00736294" w:rsidRDefault="00BE463F" w:rsidP="00BE463F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</w:tr>
    </w:tbl>
    <w:p w:rsidR="00BE463F" w:rsidRPr="00736294" w:rsidRDefault="00BE463F" w:rsidP="001F75E7">
      <w:pPr>
        <w:widowControl/>
        <w:rPr>
          <w:rFonts w:eastAsia="標楷體"/>
          <w:color w:val="000000" w:themeColor="text1"/>
          <w:sz w:val="26"/>
          <w:szCs w:val="26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84"/>
      </w:tblGrid>
      <w:tr w:rsidR="00736294" w:rsidRPr="00736294" w:rsidTr="004B4074">
        <w:trPr>
          <w:cantSplit/>
          <w:trHeight w:val="3539"/>
          <w:jc w:val="center"/>
        </w:trPr>
        <w:tc>
          <w:tcPr>
            <w:tcW w:w="10084" w:type="dxa"/>
          </w:tcPr>
          <w:p w:rsidR="001F75E7" w:rsidRPr="00736294" w:rsidRDefault="001F75E7" w:rsidP="00A13D0B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lastRenderedPageBreak/>
              <w:t>四、應改進事項：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(針對本次輔導缺失項目)</w:t>
            </w:r>
          </w:p>
          <w:p w:rsidR="001E1462" w:rsidRPr="00736294" w:rsidRDefault="001E1462" w:rsidP="00A13D0B">
            <w:pPr>
              <w:spacing w:line="480" w:lineRule="exact"/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</w:tr>
      <w:tr w:rsidR="00736294" w:rsidRPr="00736294" w:rsidTr="00F2025A">
        <w:trPr>
          <w:cantSplit/>
          <w:trHeight w:val="4303"/>
          <w:jc w:val="center"/>
        </w:trPr>
        <w:tc>
          <w:tcPr>
            <w:tcW w:w="10084" w:type="dxa"/>
          </w:tcPr>
          <w:p w:rsidR="001F75E7" w:rsidRPr="00736294" w:rsidRDefault="001F75E7" w:rsidP="001E1462">
            <w:pP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五、</w:t>
            </w:r>
            <w:r w:rsidR="004B4074"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整合</w:t>
            </w: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意見</w:t>
            </w:r>
            <w:r w:rsidRPr="00736294">
              <w:rPr>
                <w:rFonts w:ascii="新細明體" w:hAnsi="新細明體" w:hint="eastAsia"/>
                <w:b/>
                <w:color w:val="000000" w:themeColor="text1"/>
                <w:sz w:val="32"/>
                <w:szCs w:val="32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(對本次輔導，給</w:t>
            </w:r>
            <w:r w:rsidR="00835222" w:rsidRPr="0073629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學校及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廠商的綜合意見)</w:t>
            </w:r>
          </w:p>
          <w:p w:rsidR="00835222" w:rsidRPr="00736294" w:rsidRDefault="00835222" w:rsidP="00F86513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(一)學校:</w:t>
            </w:r>
          </w:p>
          <w:p w:rsidR="00835222" w:rsidRPr="00736294" w:rsidRDefault="00835222" w:rsidP="001E146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  <w:p w:rsidR="001E1462" w:rsidRPr="00736294" w:rsidRDefault="001E1462" w:rsidP="001E146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  <w:p w:rsidR="00835222" w:rsidRPr="00736294" w:rsidRDefault="00835222" w:rsidP="00F86513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(二)廠商:</w:t>
            </w:r>
          </w:p>
          <w:p w:rsidR="001E1462" w:rsidRPr="00736294" w:rsidRDefault="001E1462" w:rsidP="001E146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  <w:p w:rsidR="001E1462" w:rsidRPr="00736294" w:rsidRDefault="001E1462" w:rsidP="001E1462">
            <w:pPr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  <w:tr w:rsidR="00736294" w:rsidRPr="00736294" w:rsidTr="00A13D0B">
        <w:trPr>
          <w:cantSplit/>
          <w:trHeight w:val="490"/>
          <w:jc w:val="center"/>
        </w:trPr>
        <w:tc>
          <w:tcPr>
            <w:tcW w:w="10084" w:type="dxa"/>
            <w:vAlign w:val="center"/>
          </w:tcPr>
          <w:p w:rsidR="001F75E7" w:rsidRPr="00736294" w:rsidRDefault="001F75E7" w:rsidP="00A13D0B">
            <w:pPr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業者具結：本廠（店）（人）查核時並無發生金錢財物短少及其他任何損害情事；</w:t>
            </w:r>
          </w:p>
          <w:p w:rsidR="001F75E7" w:rsidRPr="00736294" w:rsidRDefault="001F75E7" w:rsidP="00A33D53">
            <w:pPr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輔導</w:t>
            </w:r>
            <w:r w:rsidR="00A33D53" w:rsidRPr="00736294">
              <w:rPr>
                <w:rFonts w:ascii="標楷體" w:eastAsia="標楷體" w:hAnsi="標楷體" w:hint="eastAsia"/>
                <w:color w:val="000000" w:themeColor="text1"/>
              </w:rPr>
              <w:t>人員</w:t>
            </w:r>
            <w:r w:rsidRPr="00736294">
              <w:rPr>
                <w:rFonts w:ascii="標楷體" w:eastAsia="標楷體" w:hAnsi="標楷體" w:hint="eastAsia"/>
                <w:color w:val="000000" w:themeColor="text1"/>
              </w:rPr>
              <w:t>：應遵守保密協定，不得洩漏業者資訊。</w:t>
            </w:r>
          </w:p>
        </w:tc>
      </w:tr>
      <w:tr w:rsidR="00736294" w:rsidRPr="00736294" w:rsidTr="004B4074">
        <w:trPr>
          <w:cantSplit/>
          <w:trHeight w:val="1228"/>
          <w:jc w:val="center"/>
        </w:trPr>
        <w:tc>
          <w:tcPr>
            <w:tcW w:w="10084" w:type="dxa"/>
          </w:tcPr>
          <w:p w:rsidR="00F86513" w:rsidRPr="00736294" w:rsidRDefault="00F86513" w:rsidP="00A13D0B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業者代表簽名</w:t>
            </w:r>
            <w:r w:rsidRPr="00736294">
              <w:rPr>
                <w:rFonts w:ascii="新細明體" w:hAnsi="新細明體" w:hint="eastAsia"/>
                <w:b/>
                <w:color w:val="000000" w:themeColor="text1"/>
              </w:rPr>
              <w:t>：</w:t>
            </w:r>
          </w:p>
          <w:p w:rsidR="00F2025A" w:rsidRPr="00736294" w:rsidRDefault="00F86513" w:rsidP="00F2025A">
            <w:pPr>
              <w:spacing w:line="520" w:lineRule="exact"/>
              <w:rPr>
                <w:rFonts w:ascii="標楷體" w:eastAsia="標楷體" w:hAnsi="標楷體"/>
                <w:b/>
                <w:color w:val="000000" w:themeColor="text1"/>
                <w:sz w:val="36"/>
                <w:szCs w:val="36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6"/>
                <w:szCs w:val="36"/>
              </w:rPr>
              <w:t>&lt;業者全銜章&gt;</w:t>
            </w:r>
          </w:p>
          <w:p w:rsidR="00F86513" w:rsidRPr="00736294" w:rsidRDefault="00F2025A" w:rsidP="00F86513">
            <w:pPr>
              <w:rPr>
                <w:rFonts w:ascii="標楷體" w:eastAsia="標楷體" w:hAnsi="標楷體"/>
                <w:b/>
                <w:color w:val="000000" w:themeColor="text1"/>
                <w:sz w:val="40"/>
                <w:szCs w:val="40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日期:</w:t>
            </w:r>
          </w:p>
        </w:tc>
      </w:tr>
      <w:tr w:rsidR="00736294" w:rsidRPr="00736294" w:rsidTr="004B4074">
        <w:trPr>
          <w:cantSplit/>
          <w:trHeight w:val="2606"/>
          <w:jc w:val="center"/>
        </w:trPr>
        <w:tc>
          <w:tcPr>
            <w:tcW w:w="10084" w:type="dxa"/>
          </w:tcPr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學校代表簽名:</w:t>
            </w: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widowControl/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輔導委員簽名:</w:t>
            </w: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轄區衛生局人員簽名:</w:t>
            </w: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</w:p>
          <w:p w:rsidR="00F86513" w:rsidRPr="00736294" w:rsidRDefault="00F86513" w:rsidP="00F86513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</w:rPr>
              <w:t>農業局人員簽名:</w:t>
            </w:r>
          </w:p>
          <w:p w:rsidR="00F86513" w:rsidRPr="00736294" w:rsidRDefault="00F86513" w:rsidP="00A13D0B">
            <w:pPr>
              <w:rPr>
                <w:rFonts w:ascii="標楷體" w:eastAsia="標楷體" w:hAnsi="標楷體"/>
                <w:color w:val="000000" w:themeColor="text1"/>
              </w:rPr>
            </w:pPr>
          </w:p>
          <w:p w:rsidR="00F86513" w:rsidRPr="00736294" w:rsidRDefault="00F86513" w:rsidP="00A13D0B">
            <w:pPr>
              <w:rPr>
                <w:rFonts w:ascii="標楷體" w:eastAsia="標楷體" w:hAnsi="標楷體"/>
                <w:color w:val="000000" w:themeColor="text1"/>
              </w:rPr>
            </w:pPr>
          </w:p>
          <w:p w:rsidR="004B4074" w:rsidRPr="00736294" w:rsidRDefault="004B4074" w:rsidP="00A13D0B">
            <w:pPr>
              <w:rPr>
                <w:rFonts w:ascii="標楷體" w:eastAsia="標楷體" w:hAnsi="標楷體"/>
                <w:color w:val="000000" w:themeColor="text1"/>
              </w:rPr>
            </w:pPr>
            <w:r w:rsidRPr="00736294">
              <w:rPr>
                <w:rFonts w:ascii="標楷體" w:eastAsia="標楷體" w:hAnsi="標楷體" w:hint="eastAsia"/>
                <w:color w:val="000000" w:themeColor="text1"/>
              </w:rPr>
              <w:t>日期:</w:t>
            </w:r>
          </w:p>
        </w:tc>
      </w:tr>
    </w:tbl>
    <w:p w:rsidR="001F75E7" w:rsidRPr="00736294" w:rsidRDefault="00BE463F" w:rsidP="00F86513">
      <w:pPr>
        <w:widowControl/>
        <w:rPr>
          <w:rFonts w:eastAsia="標楷體"/>
          <w:color w:val="000000" w:themeColor="text1"/>
        </w:rPr>
      </w:pPr>
      <w:r w:rsidRPr="00736294">
        <w:rPr>
          <w:rFonts w:eastAsia="標楷體"/>
          <w:color w:val="000000" w:themeColor="text1"/>
          <w:sz w:val="32"/>
          <w:szCs w:val="32"/>
        </w:rPr>
        <w:br w:type="page"/>
      </w:r>
      <w:r w:rsidR="001F75E7" w:rsidRPr="00736294">
        <w:rPr>
          <w:rFonts w:eastAsia="標楷體" w:hint="eastAsia"/>
          <w:color w:val="000000" w:themeColor="text1"/>
          <w:sz w:val="32"/>
          <w:szCs w:val="32"/>
        </w:rPr>
        <w:lastRenderedPageBreak/>
        <w:t>缺失改善前後對照表</w:t>
      </w:r>
      <w:r w:rsidR="001F75E7" w:rsidRPr="00736294">
        <w:rPr>
          <w:rFonts w:eastAsia="標楷體"/>
          <w:color w:val="000000" w:themeColor="text1"/>
          <w:sz w:val="20"/>
          <w:szCs w:val="20"/>
        </w:rPr>
        <w:t>—</w:t>
      </w:r>
      <w:r w:rsidR="001F75E7" w:rsidRPr="00736294">
        <w:rPr>
          <w:rFonts w:eastAsia="標楷體" w:hint="eastAsia"/>
          <w:color w:val="000000" w:themeColor="text1"/>
        </w:rPr>
        <w:t>由校方承辦黏貼回傳</w:t>
      </w:r>
      <w:r w:rsidR="001F75E7" w:rsidRPr="00736294">
        <w:rPr>
          <w:rFonts w:eastAsia="標楷體" w:hint="eastAsia"/>
          <w:color w:val="000000" w:themeColor="text1"/>
        </w:rPr>
        <w:t>mail</w:t>
      </w:r>
      <w:r w:rsidR="001F75E7" w:rsidRPr="00736294">
        <w:rPr>
          <w:rFonts w:eastAsia="標楷體" w:hint="eastAsia"/>
          <w:color w:val="000000" w:themeColor="text1"/>
        </w:rPr>
        <w:t>至</w:t>
      </w:r>
      <w:r w:rsidR="001F75E7" w:rsidRPr="00736294">
        <w:rPr>
          <w:rFonts w:eastAsia="標楷體" w:hint="eastAsia"/>
          <w:color w:val="000000" w:themeColor="text1"/>
        </w:rPr>
        <w:t>haccppmp@gmail.com</w:t>
      </w:r>
    </w:p>
    <w:p w:rsidR="00BE463F" w:rsidRPr="00736294" w:rsidRDefault="001F75E7" w:rsidP="001F75E7">
      <w:pPr>
        <w:spacing w:line="400" w:lineRule="exact"/>
        <w:rPr>
          <w:rFonts w:eastAsia="標楷體"/>
          <w:color w:val="000000" w:themeColor="text1"/>
          <w:sz w:val="32"/>
          <w:szCs w:val="32"/>
        </w:rPr>
      </w:pPr>
      <w:r w:rsidRPr="00736294">
        <w:rPr>
          <w:rFonts w:eastAsia="標楷體" w:hint="eastAsia"/>
          <w:color w:val="000000" w:themeColor="text1"/>
          <w:sz w:val="20"/>
          <w:szCs w:val="20"/>
        </w:rPr>
        <w:t>(</w:t>
      </w:r>
      <w:r w:rsidRPr="00736294">
        <w:rPr>
          <w:rFonts w:eastAsia="標楷體" w:hint="eastAsia"/>
          <w:color w:val="000000" w:themeColor="text1"/>
          <w:sz w:val="20"/>
          <w:szCs w:val="20"/>
        </w:rPr>
        <w:t>如不敷使用，請自行複印</w:t>
      </w:r>
      <w:r w:rsidR="00BE463F" w:rsidRPr="00736294">
        <w:rPr>
          <w:rFonts w:eastAsia="標楷體" w:hint="eastAsia"/>
          <w:color w:val="000000" w:themeColor="text1"/>
          <w:sz w:val="20"/>
          <w:szCs w:val="20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294" w:rsidRPr="00736294" w:rsidTr="00BE463F">
        <w:trPr>
          <w:trHeight w:val="753"/>
        </w:trPr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(承辦人員填寫)</w:t>
            </w:r>
          </w:p>
        </w:tc>
      </w:tr>
      <w:tr w:rsidR="00736294" w:rsidRPr="00736294" w:rsidTr="00A13D0B">
        <w:trPr>
          <w:trHeight w:val="3403"/>
        </w:trPr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</w:tr>
      <w:tr w:rsidR="00736294" w:rsidRPr="00736294" w:rsidTr="00BE463F">
        <w:trPr>
          <w:trHeight w:val="826"/>
        </w:trPr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(承辦人員填寫)</w:t>
            </w:r>
          </w:p>
        </w:tc>
      </w:tr>
      <w:tr w:rsidR="00736294" w:rsidRPr="00736294" w:rsidTr="00A13D0B">
        <w:trPr>
          <w:trHeight w:val="3403"/>
        </w:trPr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</w:tr>
      <w:tr w:rsidR="00736294" w:rsidRPr="00736294" w:rsidTr="00BE463F">
        <w:trPr>
          <w:trHeight w:val="830"/>
        </w:trPr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ascii="新細明體" w:hAnsi="新細明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改善前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(輔導老師填寫)</w:t>
            </w:r>
          </w:p>
        </w:tc>
        <w:tc>
          <w:tcPr>
            <w:tcW w:w="4904" w:type="dxa"/>
          </w:tcPr>
          <w:p w:rsidR="001F75E7" w:rsidRPr="00736294" w:rsidRDefault="001F75E7" w:rsidP="00A13D0B">
            <w:pPr>
              <w:spacing w:line="276" w:lineRule="auto"/>
              <w:rPr>
                <w:rFonts w:eastAsia="標楷體"/>
                <w:color w:val="000000" w:themeColor="text1"/>
                <w:sz w:val="26"/>
                <w:szCs w:val="26"/>
              </w:rPr>
            </w:pP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(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改善後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)</w:t>
            </w:r>
            <w:r w:rsidRPr="00736294">
              <w:rPr>
                <w:rFonts w:eastAsia="標楷體" w:hint="eastAsia"/>
                <w:color w:val="000000" w:themeColor="text1"/>
                <w:sz w:val="26"/>
                <w:szCs w:val="26"/>
              </w:rPr>
              <w:t>敘述</w:t>
            </w:r>
            <w:r w:rsidRPr="00736294">
              <w:rPr>
                <w:rFonts w:ascii="新細明體" w:hAnsi="新細明體" w:hint="eastAsia"/>
                <w:color w:val="000000" w:themeColor="text1"/>
                <w:sz w:val="26"/>
                <w:szCs w:val="26"/>
              </w:rPr>
              <w:t>：</w:t>
            </w:r>
            <w:r w:rsidRPr="00736294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(承辦人員填寫)</w:t>
            </w:r>
          </w:p>
        </w:tc>
      </w:tr>
      <w:tr w:rsidR="00736294" w:rsidRPr="00736294" w:rsidTr="00A13D0B">
        <w:trPr>
          <w:trHeight w:val="3403"/>
        </w:trPr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  <w:tc>
          <w:tcPr>
            <w:tcW w:w="4904" w:type="dxa"/>
            <w:vAlign w:val="center"/>
          </w:tcPr>
          <w:p w:rsidR="001F75E7" w:rsidRPr="00736294" w:rsidRDefault="001F75E7" w:rsidP="00A13D0B">
            <w:pPr>
              <w:spacing w:line="480" w:lineRule="exact"/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73629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&lt;照片呈現&gt;</w:t>
            </w:r>
          </w:p>
        </w:tc>
      </w:tr>
    </w:tbl>
    <w:p w:rsidR="00A13D0B" w:rsidRPr="00736294" w:rsidRDefault="00A13D0B">
      <w:pPr>
        <w:rPr>
          <w:color w:val="000000" w:themeColor="text1"/>
        </w:rPr>
      </w:pPr>
    </w:p>
    <w:sectPr w:rsidR="00A13D0B" w:rsidRPr="00736294" w:rsidSect="007B7F38">
      <w:footerReference w:type="default" r:id="rId10"/>
      <w:pgSz w:w="11906" w:h="16838"/>
      <w:pgMar w:top="568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CD" w:rsidRDefault="005010CD" w:rsidP="00254AC2">
      <w:r>
        <w:separator/>
      </w:r>
    </w:p>
  </w:endnote>
  <w:endnote w:type="continuationSeparator" w:id="0">
    <w:p w:rsidR="005010CD" w:rsidRDefault="005010CD" w:rsidP="0025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524719"/>
      <w:docPartObj>
        <w:docPartGallery w:val="Page Numbers (Bottom of Page)"/>
        <w:docPartUnique/>
      </w:docPartObj>
    </w:sdtPr>
    <w:sdtEndPr/>
    <w:sdtContent>
      <w:p w:rsidR="004B4074" w:rsidRDefault="00D059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4AC" w:rsidRPr="000E64AC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4B4074" w:rsidRDefault="004B40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CD" w:rsidRDefault="005010CD" w:rsidP="00254AC2">
      <w:r>
        <w:separator/>
      </w:r>
    </w:p>
  </w:footnote>
  <w:footnote w:type="continuationSeparator" w:id="0">
    <w:p w:rsidR="005010CD" w:rsidRDefault="005010CD" w:rsidP="0025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8148A"/>
    <w:multiLevelType w:val="hybridMultilevel"/>
    <w:tmpl w:val="8DA6C582"/>
    <w:lvl w:ilvl="0" w:tplc="FDB49E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F8567F"/>
    <w:multiLevelType w:val="hybridMultilevel"/>
    <w:tmpl w:val="FB187C06"/>
    <w:lvl w:ilvl="0" w:tplc="8A22D22E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E7"/>
    <w:rsid w:val="00090F08"/>
    <w:rsid w:val="00092104"/>
    <w:rsid w:val="000E64AC"/>
    <w:rsid w:val="000F69DF"/>
    <w:rsid w:val="001A54CE"/>
    <w:rsid w:val="001E1462"/>
    <w:rsid w:val="001F1FD4"/>
    <w:rsid w:val="001F619B"/>
    <w:rsid w:val="001F75E7"/>
    <w:rsid w:val="00206C30"/>
    <w:rsid w:val="00254AC2"/>
    <w:rsid w:val="003124B8"/>
    <w:rsid w:val="0032789E"/>
    <w:rsid w:val="003879B4"/>
    <w:rsid w:val="00467D1C"/>
    <w:rsid w:val="004A4D16"/>
    <w:rsid w:val="004A6DE5"/>
    <w:rsid w:val="004B4074"/>
    <w:rsid w:val="005005C2"/>
    <w:rsid w:val="005010CD"/>
    <w:rsid w:val="005A0CA0"/>
    <w:rsid w:val="005D036A"/>
    <w:rsid w:val="005D650A"/>
    <w:rsid w:val="00736294"/>
    <w:rsid w:val="00760B48"/>
    <w:rsid w:val="0077112C"/>
    <w:rsid w:val="007B0467"/>
    <w:rsid w:val="007B7F38"/>
    <w:rsid w:val="00814CBD"/>
    <w:rsid w:val="00832DB9"/>
    <w:rsid w:val="00835222"/>
    <w:rsid w:val="00866868"/>
    <w:rsid w:val="00A04ECF"/>
    <w:rsid w:val="00A13D0B"/>
    <w:rsid w:val="00A14351"/>
    <w:rsid w:val="00A14B83"/>
    <w:rsid w:val="00A33D53"/>
    <w:rsid w:val="00A83F54"/>
    <w:rsid w:val="00AE4185"/>
    <w:rsid w:val="00B3432C"/>
    <w:rsid w:val="00B663CB"/>
    <w:rsid w:val="00BE463F"/>
    <w:rsid w:val="00CB35C8"/>
    <w:rsid w:val="00CC032D"/>
    <w:rsid w:val="00CE5F24"/>
    <w:rsid w:val="00D0592E"/>
    <w:rsid w:val="00D32484"/>
    <w:rsid w:val="00DA08B7"/>
    <w:rsid w:val="00E85DA1"/>
    <w:rsid w:val="00EE5C86"/>
    <w:rsid w:val="00F2025A"/>
    <w:rsid w:val="00F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E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格線1"/>
    <w:basedOn w:val="a1"/>
    <w:next w:val="a3"/>
    <w:uiPriority w:val="59"/>
    <w:rsid w:val="001F75E7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206C3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E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格線1"/>
    <w:basedOn w:val="a1"/>
    <w:next w:val="a3"/>
    <w:uiPriority w:val="59"/>
    <w:rsid w:val="001F75E7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4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4AC2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206C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&#23559;&#32570;&#22833;&#25913;&#21892;&#21069;&#24460;&#23565;&#25033;&#34920;%20mail&#33267;haccppmp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7DC36-D0D7-492B-958F-233632948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720</Words>
  <Characters>4108</Characters>
  <Application>Microsoft Office Word</Application>
  <DocSecurity>0</DocSecurity>
  <Lines>34</Lines>
  <Paragraphs>9</Paragraphs>
  <ScaleCrop>false</ScaleCrop>
  <Company>C.M.T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呂賴艷</dc:creator>
  <cp:lastModifiedBy>NTU</cp:lastModifiedBy>
  <cp:revision>2</cp:revision>
  <dcterms:created xsi:type="dcterms:W3CDTF">2016-09-07T02:36:00Z</dcterms:created>
  <dcterms:modified xsi:type="dcterms:W3CDTF">2016-09-07T02:36:00Z</dcterms:modified>
</cp:coreProperties>
</file>