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34122" w14:textId="77777777" w:rsidR="007A4FFC" w:rsidRDefault="007A4FFC" w:rsidP="007A4FFC">
      <w:pPr>
        <w:pStyle w:val="OMBInfo"/>
      </w:pPr>
      <w:r>
        <w:t>OMB No. 0925-0001 and 0925-0002 (Rev. 12</w:t>
      </w:r>
      <w:r w:rsidRPr="007E6E1E">
        <w:t xml:space="preserve">/2020 </w:t>
      </w:r>
      <w:r>
        <w:t>Approved Through 02/28/2023)</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eRA COMMONS USER NAME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r w:rsidR="00B571E4" w:rsidRPr="00500E11">
        <w:rPr>
          <w:sz w:val="22"/>
        </w:rPr>
        <w:t>tustison</w:t>
      </w:r>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72450952" w:rsidR="002B411E" w:rsidRDefault="002B411E" w:rsidP="002B411E">
      <w:pPr>
        <w:jc w:val="both"/>
      </w:pPr>
      <w:r>
        <w:t>I am well-suited to significantly contribute to the quantitative analyses proposed in this project</w:t>
      </w:r>
      <w:r w:rsidR="00D94576">
        <w:t>.</w:t>
      </w:r>
      <w:r>
        <w:t xml:space="preserve">  My formal training is in quantitative medical image analysis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Role:  PI of UVa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Muschelli</w:t>
      </w:r>
      <w:r>
        <w:t xml:space="preserve"> J</w:t>
      </w:r>
      <w:r w:rsidRPr="002B411E">
        <w:t>, Devenyi</w:t>
      </w:r>
      <w:r>
        <w:t xml:space="preserve"> GA</w:t>
      </w:r>
      <w:r w:rsidRPr="002B411E">
        <w:t>, Duda</w:t>
      </w:r>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and Avants</w:t>
      </w:r>
      <w:r>
        <w:t xml:space="preserve"> BB</w:t>
      </w:r>
      <w:r w:rsidRPr="002B411E">
        <w:t xml:space="preserve"> for the Alzheimer</w:t>
      </w:r>
      <w:r w:rsidRPr="002B411E">
        <w:t>’</w:t>
      </w:r>
      <w:r w:rsidRPr="002B411E">
        <w:t>s Disease Neuroimaging Initiative. The ANTsX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Shrinhidi</w:t>
      </w:r>
      <w:r>
        <w:t xml:space="preserve"> KL</w:t>
      </w:r>
      <w:r w:rsidRPr="001458A0">
        <w:t>, Wintermark</w:t>
      </w:r>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and Avants</w:t>
      </w:r>
      <w:r>
        <w:t xml:space="preserve"> BB</w:t>
      </w:r>
      <w:r w:rsidRPr="001458A0">
        <w:t>. Optimal symmetric multimodal templates and concatenated random forests for supervised brain tumor segmentation (simplified) with</w:t>
      </w:r>
      <w:r w:rsidRPr="001458A0">
        <w:t> </w:t>
      </w:r>
      <w:r w:rsidRPr="001458A0">
        <w:rPr>
          <w:i/>
          <w:iCs/>
        </w:rPr>
        <w:t>ANTsR</w:t>
      </w:r>
      <w:r w:rsidRPr="001458A0">
        <w:t>.</w:t>
      </w:r>
      <w:r w:rsidRPr="001458A0">
        <w:t>  </w:t>
      </w:r>
      <w:r w:rsidRPr="001458A0">
        <w:rPr>
          <w:i/>
          <w:iCs/>
        </w:rPr>
        <w:t>Neuroinformatics</w:t>
      </w:r>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Duda JT, Kandel BM, van Strien N, Stone JR, Gee JC, </w:t>
      </w:r>
      <w:r w:rsidRPr="00500E11">
        <w:rPr>
          <w:rFonts w:hAnsi="Arial" w:cs="Arial"/>
        </w:rPr>
        <w:lastRenderedPageBreak/>
        <w:t>Avants BB:  Large-Scale Evaluation of ANTs and FreeSurfer Cortical Thickness Measurements, NeuroImage,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Avants BA, Cook PA, Zheng Y, Egan A, Yuskevich PA, Gee JC:  N4ITK:  improved N3 bias correction, IEEE Trans Med Imag,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6E4494D5" w:rsidR="002B411E" w:rsidRPr="006A1313" w:rsidRDefault="002B411E" w:rsidP="002B411E">
      <w:pPr>
        <w:spacing w:before="80"/>
        <w:outlineLvl w:val="0"/>
        <w:rPr>
          <w:rFonts w:cs="Arial"/>
          <w:b/>
          <w:szCs w:val="22"/>
        </w:rPr>
      </w:pPr>
      <w:r w:rsidRPr="006A1313">
        <w:rPr>
          <w:rFonts w:cs="Arial"/>
          <w:b/>
          <w:szCs w:val="22"/>
        </w:rPr>
        <w:t>Positions a</w:t>
      </w:r>
      <w:r w:rsidR="006A1313" w:rsidRPr="006A1313">
        <w:rPr>
          <w:rFonts w:cs="Arial"/>
          <w:b/>
          <w:szCs w:val="22"/>
        </w:rPr>
        <w:t>nd Scientific Appointments</w:t>
      </w:r>
    </w:p>
    <w:p w14:paraId="38397DE1"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FE60CC2" w14:textId="77777777"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 Irvine, CA</w:t>
      </w:r>
    </w:p>
    <w:p w14:paraId="1CA0C1D9" w14:textId="77777777"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52DE0B92" w14:textId="77777777"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 Irvine, CA</w:t>
      </w:r>
    </w:p>
    <w:p w14:paraId="1E863E08" w14:textId="77777777"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 Charlottesville, VA</w:t>
      </w:r>
    </w:p>
    <w:p w14:paraId="3EF81EBF" w14:textId="77777777"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Philadelphia, PA </w:t>
      </w:r>
    </w:p>
    <w:p w14:paraId="4395C6C8" w14:textId="241CCAEE"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Philadelphia, PA </w:t>
      </w:r>
    </w:p>
    <w:p w14:paraId="6CF42BFE" w14:textId="77777777" w:rsidR="006A1313" w:rsidRDefault="006A1313"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Avants BB, </w:t>
      </w:r>
      <w:r w:rsidRPr="00B018A0">
        <w:rPr>
          <w:rFonts w:hAnsi="Arial" w:cs="Arial"/>
          <w:b/>
          <w:bCs/>
        </w:rPr>
        <w:t>Tustison NJ</w:t>
      </w:r>
      <w:r w:rsidRPr="005A4A1D">
        <w:rPr>
          <w:rFonts w:hAnsi="Arial" w:cs="Arial"/>
        </w:rPr>
        <w:t>, Stauffer M, Song G, Wu B, Gee JC:  The Insight ToolKit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Avants BB:  Explicit B-spline regularization in diffeomorphic image registration, Front Neuroinform,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Awate SP, Song G, Cook TS, Gee JC:  Point set registration using Havrda-Charvat-Tsallis entropy measures, IEEE Trans Med Imag,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Avants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t>
      </w:r>
      <w:r w:rsidRPr="00B571E4">
        <w:rPr>
          <w:rStyle w:val="Strong"/>
          <w:b w:val="0"/>
          <w:bCs w:val="0"/>
        </w:rPr>
        <w:lastRenderedPageBreak/>
        <w:t xml:space="preserve">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 and is primarily split between myself and my colleague, Brian Avants.  Recent development includes the open-source ANTsRNet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Muschelli</w:t>
      </w:r>
      <w:r w:rsidR="00CE7D33" w:rsidRPr="00CE7D33">
        <w:rPr>
          <w:rFonts w:hAnsi="Arial" w:cs="Arial"/>
        </w:rPr>
        <w:t xml:space="preserve"> J</w:t>
      </w:r>
      <w:r w:rsidR="00CE7D33" w:rsidRPr="002B411E">
        <w:rPr>
          <w:rFonts w:hAnsi="Arial" w:cs="Arial"/>
        </w:rPr>
        <w:t>, Devenyi</w:t>
      </w:r>
      <w:r w:rsidR="00CE7D33" w:rsidRPr="00CE7D33">
        <w:rPr>
          <w:rFonts w:hAnsi="Arial" w:cs="Arial"/>
        </w:rPr>
        <w:t xml:space="preserve"> GA</w:t>
      </w:r>
      <w:r w:rsidR="00CE7D33" w:rsidRPr="002B411E">
        <w:rPr>
          <w:rFonts w:hAnsi="Arial" w:cs="Arial"/>
        </w:rPr>
        <w:t>, Duda</w:t>
      </w:r>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and Avants</w:t>
      </w:r>
      <w:r w:rsidR="00CE7D33" w:rsidRPr="00CE7D33">
        <w:rPr>
          <w:rFonts w:hAnsi="Arial" w:cs="Arial"/>
        </w:rPr>
        <w:t xml:space="preserve"> BB</w:t>
      </w:r>
      <w:r w:rsidR="00CE7D33" w:rsidRPr="002B411E">
        <w:rPr>
          <w:rFonts w:hAnsi="Arial" w:cs="Arial"/>
        </w:rPr>
        <w:t xml:space="preserve"> for the Alzheimer’s Disease Neuroimaging Initiative. The ANTsX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w:t>
      </w:r>
      <w:r w:rsidRPr="00B018A0">
        <w:rPr>
          <w:rFonts w:hAnsi="Arial" w:cs="Arial"/>
          <w:b/>
          <w:bCs/>
        </w:rPr>
        <w:t>Tustison NJ</w:t>
      </w:r>
      <w:r w:rsidRPr="00500E11">
        <w:rPr>
          <w:rFonts w:hAnsi="Arial" w:cs="Arial"/>
        </w:rPr>
        <w:t xml:space="preserve">*,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Avants BA, Cook PA, Zheng Y, Egan A, Yuskevich PA, Gee JC:  N4ITK:  improved N3 bias correction, IEEE Trans Med Imag,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r>
        <w:rPr>
          <w:rFonts w:hAnsi="Arial" w:cs="Arial"/>
        </w:rPr>
        <w:t xml:space="preserve">Avants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Johnson HJ, Rohlfing T, Klein A, Ghosh SS, Ibanez L, Avants BB:  Instrumentation bias in the use and evaluation of scientific software:  recommendations for reproducible practices in the computational sciences, Front Neurosci,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MyBibliography: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27A90" w14:textId="77777777" w:rsidR="00E52505" w:rsidRDefault="00E52505">
      <w:r>
        <w:separator/>
      </w:r>
    </w:p>
  </w:endnote>
  <w:endnote w:type="continuationSeparator" w:id="0">
    <w:p w14:paraId="3AB0445E" w14:textId="77777777" w:rsidR="00E52505" w:rsidRDefault="00E5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4EB5A" w14:textId="77777777" w:rsidR="00E52505" w:rsidRDefault="00E52505">
      <w:r>
        <w:separator/>
      </w:r>
    </w:p>
  </w:footnote>
  <w:footnote w:type="continuationSeparator" w:id="0">
    <w:p w14:paraId="3F9C548D" w14:textId="77777777" w:rsidR="00E52505" w:rsidRDefault="00E52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9981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3</cp:revision>
  <cp:lastPrinted>2011-03-11T19:43:00Z</cp:lastPrinted>
  <dcterms:created xsi:type="dcterms:W3CDTF">2021-06-14T19:32:00Z</dcterms:created>
  <dcterms:modified xsi:type="dcterms:W3CDTF">2021-06-18T18:10:00Z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