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CNN-based proton lung MRI segmentation (in terms</w:t>
      </w:r>
      <w:r>
        <w:t xml:space="preserve"> </w:t>
      </w:r>
      <w:r>
        <w:t xml:space="preserve">of Dice overlap)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 was 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and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4" w:name="ref-Litjens:2017aa"/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3">
        <w:r>
          <w:rPr>
            <w:rStyle w:val="Hyperlink"/>
          </w:rPr>
          <w:t xml:space="preserve">10.1016/j.media.2017.07.005</w:t>
        </w:r>
      </w:hyperlink>
    </w:p>
    <w:bookmarkEnd w:id="64"/>
    <w:bookmarkStart w:id="65" w:name="ref-Ronneberger:2015aa"/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5"/>
    <w:bookmarkStart w:id="66" w:name="ref-Tustison:2016aa"/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6"/>
    <w:bookmarkStart w:id="68" w:name="ref-Taylor:2017aa"/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8"/>
    <w:bookmarkStart w:id="70" w:name="ref-Tustison:2013ac"/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9">
        <w:r>
          <w:rPr>
            <w:rStyle w:val="Hyperlink"/>
          </w:rPr>
          <w:t xml:space="preserve">10.3389/fninf.2013.00039</w:t>
        </w:r>
      </w:hyperlink>
    </w:p>
    <w:bookmarkEnd w:id="70"/>
    <w:bookmarkStart w:id="72" w:name="ref-Avants:2011ab"/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71">
        <w:r>
          <w:rPr>
            <w:rStyle w:val="Hyperlink"/>
          </w:rPr>
          <w:t xml:space="preserve">10.1016/j.neuroimage.2010.09.025</w:t>
        </w:r>
      </w:hyperlink>
    </w:p>
    <w:bookmarkEnd w:id="72"/>
    <w:bookmarkStart w:id="74" w:name="ref-antsr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4"/>
    <w:bookmarkStart w:id="76" w:name="ref-deepventnet"/>
    <w:p>
      <w:pPr>
        <w:pStyle w:val="Bibliography"/>
      </w:pPr>
      <w:r>
        <w:t xml:space="preserve">22. Available at</w:t>
      </w:r>
      <w:r>
        <w:t xml:space="preserve"> </w:t>
      </w:r>
      <w:hyperlink r:id="rId7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2018-05-21T03:44:03Z</dcterms:created>
  <dcterms:modified xsi:type="dcterms:W3CDTF">2018-05-21T03:44:03Z</dcterms:modified>
</cp:coreProperties>
</file>