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</w:t>
      </w:r>
      <w:r>
        <w:t xml:space="preserve"> </w:t>
      </w:r>
      <w:r>
        <w:t xml:space="preserve">incorporating ventilation defect and normal regions)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and semi-automated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[15]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[17]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[18]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[19]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[20]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[21]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[22]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[23]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[24]</w:t>
      </w:r>
      <w:r>
        <w:t xml:space="preserve">. This is motivated by</w:t>
      </w:r>
      <w:r>
        <w:t xml:space="preserve"> </w:t>
      </w:r>
      <w:r>
        <w:t xml:space="preserve">common use case scenarios in which</w:t>
      </w:r>
      <w:r>
        <w:t xml:space="preserve"> </w:t>
      </w:r>
      <w:r>
        <w:t xml:space="preserve"> </w:t>
      </w:r>
      <w:r>
        <w:t xml:space="preserve">[8–10]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[26]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[27]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[28]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[29]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24]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30]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Unlike other methods that rely solely on intensity distributions, thereby</w:t>
      </w:r>
      <w:r>
        <w:t xml:space="preserve"> </w:t>
      </w:r>
      <w:r>
        <w:t xml:space="preserve">discarding spatial information 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</w:t>
      </w:r>
      <w:r>
        <w:t xml:space="preserve"> </w:t>
      </w:r>
      <w:r>
        <w:t xml:space="preserve"> </w:t>
      </w:r>
      <w:r>
        <w:t xml:space="preserve">technique</w:t>
      </w:r>
      <w:r>
        <w:t xml:space="preserve"> </w:t>
      </w:r>
      <w:r>
        <w:t xml:space="preserve">[8]</w:t>
      </w:r>
      <w:r>
        <w:t xml:space="preserve"> </w:t>
      </w:r>
      <w:r>
        <w:t xml:space="preserve">employs 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[32]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[33]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[24]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[34]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[35]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[36]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[24]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[37]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The U-net architecture was introduced in</w:t>
      </w:r>
      <w:r>
        <w:t xml:space="preserve"> </w:t>
      </w:r>
      <w:r>
        <w:t xml:space="preserve">[23]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an optional dropout layer in between two convolutional layers.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[25]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typical range exhibited by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individual training data to the space of every other</w:t>
      </w:r>
      <w:r>
        <w:t xml:space="preserve"> </w:t>
      </w:r>
      <w:r>
        <w:t xml:space="preserve">training data as illustrated in Figure</w:t>
      </w:r>
      <w:r>
        <w:t xml:space="preserve"> </w:t>
      </w:r>
      <w:r>
        <w:t xml:space="preserve">. Specifically, the</w:t>
      </w:r>
      <w:r>
        <w:t xml:space="preserve"> </w:t>
      </w:r>
      <w:r>
        <w:t xml:space="preserve">template building process produces an invertible, deformable mapping for each</w:t>
      </w:r>
      <w:r>
        <w:t xml:space="preserve"> </w:t>
      </w:r>
      <w:r>
        <w:t xml:space="preserve">subject. For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subject,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and template,</w:t>
      </w:r>
      <w:r>
        <w:t xml:space="preserve"> </w:t>
      </w:r>
      <m:oMath>
        <m:r>
          <m:t>T</m:t>
        </m:r>
      </m:oMath>
      <w:r>
        <w:t xml:space="preserve">, this mapping is</w:t>
      </w:r>
      <w:r>
        <w:t xml:space="preserve"> </w:t>
      </w:r>
      <w:r>
        <w:t xml:space="preserve">denoted as</w:t>
      </w:r>
      <w:r>
        <w:t xml:space="preserve"> </w:t>
      </w:r>
      <m:oMath>
        <m:sSub>
          <m:e>
            <m:r>
              <m:t>ϕ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with inverse given by</w:t>
      </w:r>
      <w:r>
        <w:t xml:space="preserve"> </w:t>
      </w:r>
      <m:oMath>
        <m:sSubSup>
          <m:e>
            <m:r>
              <m:t>ϕ</m:t>
            </m:r>
          </m:e>
          <m:sub>
            <m:r>
              <m:t>k</m:t>
            </m:r>
          </m:sub>
          <m:sup>
            <m:r>
              <m:t>−</m:t>
            </m:r>
            <m:r>
              <m:t>1</m:t>
            </m:r>
          </m:sup>
        </m:sSubSup>
      </m:oMath>
      <w:r>
        <w:t xml:space="preserve">. During model</w:t>
      </w:r>
      <w:r>
        <w:t xml:space="preserve"> </w:t>
      </w:r>
      <w:r>
        <w:t xml:space="preserve">training, each new augmentated data instance,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</m:oMath>
      <w:r>
        <w:t xml:space="preserve">, is produced by randomly selecting a</w:t>
      </w:r>
      <w:r>
        <w:t xml:space="preserve"> </w:t>
      </w:r>
      <w:r>
        <w:t xml:space="preserve">source subject and target subject, and mapping</w:t>
      </w:r>
      <w:r>
        <w:t xml:space="preserve"> </w:t>
      </w:r>
      <m:oMath>
        <m:sSub>
          <m:e>
            <m:r>
              <m:t>S</m:t>
            </m:r>
          </m:e>
          <m:sub>
            <m:r>
              <m:t>s</m:t>
            </m:r>
            <m:r>
              <m:t>o</m:t>
            </m:r>
            <m:r>
              <m:t>u</m:t>
            </m:r>
            <m:r>
              <m:t>r</m:t>
            </m:r>
            <m:r>
              <m:t>c</m:t>
            </m:r>
            <m:r>
              <m:t>e</m:t>
            </m:r>
          </m:sub>
        </m:sSub>
      </m:oMath>
      <w:r>
        <w:t xml:space="preserve"> </w:t>
      </w:r>
      <w:r>
        <w:t xml:space="preserve">to the space of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</m:oMath>
      <w:r>
        <w:t xml:space="preserve"> </w:t>
      </w:r>
      <w:r>
        <w:t xml:space="preserve">according to</w:t>
      </w:r>
      <w:r>
        <w:t xml:space="preserve"> </w:t>
      </w:r>
      <w:r>
        <w:t xml:space="preserve"> </w:t>
      </w:r>
      <w:r>
        <w:t xml:space="preserve">Note that each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comprises all channel images and corresponding segmentation images.</w:t>
      </w:r>
      <w:r>
        <w:t xml:space="preserve"> </w:t>
      </w:r>
      <w:r>
        <w:t xml:space="preserve">In 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Since U-net model generation is completely separate for the proton and ventilation</w:t>
      </w:r>
      <w:r>
        <w:t xml:space="preserve"> </w:t>
      </w:r>
      <w:r>
        <w:t xml:space="preserve">data, template-based data augmentation is also isolated between the two protocols.</w:t>
      </w:r>
      <w:r>
        <w:t xml:space="preserve"> </w:t>
      </w:r>
      <w:r>
        <w:t xml:space="preserve">The proton template is created from the right/left segmentation images of the training data</w:t>
      </w:r>
      <w:r>
        <w:t xml:space="preserve"> </w:t>
      </w:r>
      <w:r>
        <w:t xml:space="preserve">denoted by the red/green labels which have voxel values of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respectively,</w:t>
      </w:r>
      <w:r>
        <w:t xml:space="preserve"> </w:t>
      </w:r>
      <w:r>
        <w:t xml:space="preserve">in Figure</w:t>
      </w:r>
      <w:r>
        <w:t xml:space="preserve"> </w:t>
      </w:r>
      <w:r>
        <w:t xml:space="preserve">. The resulting</w:t>
      </w:r>
      <w:r>
        <w:t xml:space="preserve"> </w:t>
      </w:r>
      <w:r>
        <w:t xml:space="preserve">template located in the center of the left panel is an average of all the transformed</w:t>
      </w:r>
      <w:r>
        <w:t xml:space="preserve"> </w:t>
      </w:r>
      <w:r>
        <w:t xml:space="preserve">label images. This whole lung approach avoids the possible lack of internal correspondence while</w:t>
      </w:r>
      <w:r>
        <w:t xml:space="preserve"> </w:t>
      </w:r>
      <w:r>
        <w:t xml:space="preserve">generating plausible global shape variations when mapping between individual training data.</w:t>
      </w:r>
      <w:r>
        <w:t xml:space="preserve"> </w:t>
      </w:r>
      <w:r>
        <w:t xml:space="preserve">We used 60 proton MR images thus permitting 60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3600 possible deformable shapes</w:t>
      </w:r>
      <w:r>
        <w:t xml:space="preserve"> </w:t>
      </w:r>
      <w:r>
        <w:t xml:space="preserve">which can be further augmented by more conventional strategies (e.g., brightness</w:t>
      </w:r>
      <w:r>
        <w:t xml:space="preserve"> </w:t>
      </w:r>
      <w:r>
        <w:t xml:space="preserve">transformations, translations, etc.).</w:t>
      </w:r>
      <w:r>
        <w:t xml:space="preserve"> </w:t>
      </w:r>
      <w:r>
        <w:t xml:space="preserve">, the ventilation template is</w:t>
      </w:r>
      <w:r>
        <w:t xml:space="preserve"> </w:t>
      </w:r>
      <w:r>
        <w:t xml:space="preserve">created from the ventilation mask images resulting in the</w:t>
      </w:r>
      <w:r>
        <w:t xml:space="preserve"> </w:t>
      </w:r>
      <w:r>
        <w:t xml:space="preserve">template in the center of the right panel of Figure</w:t>
      </w:r>
      <w:r>
        <w:t xml:space="preserve"> </w:t>
      </w:r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have motivated adoption of such techniques.</w:t>
      </w:r>
      <w:r>
        <w:t xml:space="preserve"> </w:t>
      </w:r>
      <w:r>
        <w:t xml:space="preserve">Basic image operations such as classification, object identification,</w:t>
      </w:r>
      <w:r>
        <w:t xml:space="preserve"> </w:t>
      </w:r>
      <w:r>
        <w:t xml:space="preserve">segmentation, as well as more focused techniques, such as predictive image registration}</w:t>
      </w:r>
      <w:r>
        <w:t xml:space="preserve"> </w:t>
      </w:r>
      <w:r>
        <w:t xml:space="preserve">[42]</w:t>
      </w:r>
      <w:r>
        <w:t xml:space="preserve">,</w:t>
      </w:r>
      <w:r>
        <w:t xml:space="preserve"> </w:t>
      </w:r>
      <w:r>
        <w:t xml:space="preserve">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repository</w:t>
      </w:r>
      <w:r>
        <w:t xml:space="preserve"> </w:t>
      </w:r>
      <w:r>
        <w:t xml:space="preserve">[29]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Transforms derived from the template-building process described</w:t>
      </w:r>
      <w:r>
        <w:t xml:space="preserve"> </w:t>
      </w:r>
      <w:r>
        <w:t xml:space="preserve">previously were passed to the batch generator where reference and source subjects were</w:t>
      </w:r>
      <w:r>
        <w:t xml:space="preserve"> </w:t>
      </w:r>
      <w:r>
        <w:t xml:space="preserve">randomly assigned. During each iteration, these random pairings were used to create the</w:t>
      </w:r>
      <w:r>
        <w:t xml:space="preserve"> </w:t>
      </w:r>
      <w:r>
        <w:t xml:space="preserve">augmented data according to Equation (1). These</w:t>
      </w:r>
      <w:r>
        <w:t xml:space="preserve"> </w:t>
      </w:r>
      <w:r>
        <w:t xml:space="preserve">data are publicly available for download at</w:t>
      </w:r>
      <w:r>
        <w:t xml:space="preserve"> </w:t>
      </w:r>
      <w:r>
        <w:t xml:space="preserve">[43]</w:t>
      </w:r>
      <w:r>
        <w:t xml:space="preserve">.</w:t>
      </w:r>
    </w:p>
    <w:p>
      <w:pPr>
        <w:pStyle w:val="BodyText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</w:t>
      </w:r>
      <w:r>
        <w:t xml:space="preserve"> </w:t>
      </w:r>
      <w:r>
        <w:t xml:space="preserve">Even though the functional images are processed as 3-D volumes and a 3-D</w:t>
      </w:r>
      <w:r>
        <w:t xml:space="preserve"> </w:t>
      </w:r>
      <w:r>
        <w:t xml:space="preserve">ventilation template is created for the template-based data augmentation, the generated</w:t>
      </w:r>
      <w:r>
        <w:t xml:space="preserve"> </w:t>
      </w:r>
      <w:r>
        <w:t xml:space="preserve">U-net model is 2-D.</w:t>
      </w:r>
      <w:r>
        <w:t xml:space="preserve"> </w:t>
      </w:r>
      <w:r>
        <w:t xml:space="preserve"> </w:t>
      </w:r>
      <w:r>
        <w:t xml:space="preserve">[44]</w:t>
      </w:r>
      <w:r>
        <w:t xml:space="preserve"> </w:t>
      </w:r>
    </w:p>
    <w:p>
      <w:pPr>
        <w:pStyle w:val="BodyText"/>
      </w:pPr>
      <w:r>
        <w:t xml:space="preserve">The basic processing strategy</w:t>
      </w:r>
      <w:r>
        <w:t xml:space="preserve"> </w:t>
      </w:r>
      <w:r>
        <w:t xml:space="preserve">is that any ventilation image to be segmented will be processed on a slice-by-slice basis</w:t>
      </w:r>
      <w:r>
        <w:t xml:space="preserve"> </w:t>
      </w:r>
      <w:r>
        <w:t xml:space="preserve">where each slice is segmented using the 2-D model.</w:t>
      </w:r>
      <w:r>
        <w:t xml:space="preserve"> </w:t>
      </w:r>
      <w:r>
        <w:t xml:space="preserve">For data augmentation, the full 3-D transforms are supplied to the</w:t>
      </w:r>
      <w:r>
        <w:t xml:space="preserve"> </w:t>
      </w:r>
      <w:r>
        <w:t xml:space="preserve">batch generator. At each iteration, as set of generated 3-D augmented images</w:t>
      </w:r>
      <w:r>
        <w:t xml:space="preserve"> </w:t>
      </w:r>
      <w:r>
        <w:t xml:space="preserve">are created on the fly based on Equation (1) and then a subset of slices is</w:t>
      </w:r>
      <w:r>
        <w:t xml:space="preserve"> </w:t>
      </w:r>
      <w:r>
        <w:t xml:space="preserve">randomly selected for each image until the batch set is complete.</w:t>
      </w:r>
      <w:r>
        <w:t xml:space="preserve"> </w:t>
      </w:r>
      <w:r>
        <w:t xml:space="preserve">For this work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</w:t>
      </w:r>
      <w:r>
        <w:t xml:space="preserve"> </w:t>
      </w:r>
      <w:r>
        <w:t xml:space="preserve">It should</w:t>
      </w:r>
      <w:r>
        <w:t xml:space="preserve"> </w:t>
      </w:r>
      <w:r>
        <w:t xml:space="preserve">be noted that a whole lung mask is assumed to exist and supplied as an additional channel for</w:t>
      </w:r>
      <w:r>
        <w:t xml:space="preserve"> </w:t>
      </w:r>
      <w:r>
        <w:t xml:space="preserve">processing. Prediction on the evaluation data is performed slice-by-slice</w:t>
      </w:r>
      <w:r>
        <w:t xml:space="preserve"> </w:t>
      </w:r>
      <w:r>
        <w:t xml:space="preserve">and then collated into probability volumetric</w:t>
      </w:r>
      <w:r>
        <w:t xml:space="preserve"> </w:t>
      </w:r>
      <w:r>
        <w:t xml:space="preserve">images.</w:t>
      </w:r>
    </w:p>
    <w:p>
      <w:pPr>
        <w:pStyle w:val="Compact"/>
      </w:pPr>
      <w:r>
        <w:t xml:space="preserve">The 3-D U-net structural model and 2-D U-net functional model that were created,</w:t>
      </w:r>
      <w:r>
        <w:t xml:space="preserve"> </w:t>
      </w:r>
      <w:r>
        <w:t xml:space="preserve">as described above and included with the GitHub repository, can then be used for future processing.</w:t>
      </w:r>
      <w:r>
        <w:t xml:space="preserve"> </w:t>
      </w:r>
      <w:r>
        <w:t xml:space="preserve">Using these models, the basic deep learning workflow is as follows:</w:t>
      </w:r>
    </w:p>
    <w:p>
      <w:pPr>
        <w:pStyle w:val="BodyText"/>
      </w:pPr>
      <w:r>
        <w:t xml:space="preserve">Note that this workflow is not absolutely necessary. For example, one could use the 2-D functional</w:t>
      </w:r>
      <w:r>
        <w:t xml:space="preserve"> </w:t>
      </w:r>
      <w:r>
        <w:t xml:space="preserve">model if one provides the input lung masks.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[28]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[45]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[46]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[46]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After constructing the U-net structural model using template-based</w:t>
      </w:r>
      <w:r>
        <w:t xml:space="preserve"> </w:t>
      </w:r>
      <w:r>
        <w:t xml:space="preserve">data augmentation</w:t>
      </w:r>
      <w:r>
        <w:t xml:space="preserve">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[27]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t xml:space="preserve"> </w:t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We applied the deep learning approach described in the previous section to</w:t>
      </w:r>
      <w:r>
        <w:t xml:space="preserve"> </w:t>
      </w:r>
      <w:r>
        <w:t xml:space="preserve">the evaluation data used in</w:t>
      </w:r>
      <w:r>
        <w:t xml:space="preserve"> </w:t>
      </w:r>
      <w:r>
        <w:t xml:space="preserve">[8]</w:t>
      </w:r>
      <w:r>
        <w:t xml:space="preserve">. The resulting probability images were converted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[47]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t xml:space="preserve"> </w:t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 </w:t>
      </w:r>
      <w:r>
        <w:t xml:space="preserve">[48]</w:t>
      </w:r>
      <w:r>
        <w:t xml:space="preserve"> 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[17]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R21HL129112, and ROI1HL132177.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33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3" w:name="ref-Russakovsky:2015aa"/>
    <w:p>
      <w:pPr>
        <w:pStyle w:val="Bibliography"/>
      </w:pPr>
      <w:r>
        <w:t xml:space="preserve">15.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63"/>
    <w:bookmarkStart w:id="65" w:name="ref-Krizhevsky:2012"/>
    <w:p>
      <w:pPr>
        <w:pStyle w:val="Bibliography"/>
      </w:pPr>
      <w:r>
        <w:t xml:space="preserve">16.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64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65"/>
    <w:bookmarkStart w:id="67" w:name="ref-Simonyan:2014"/>
    <w:p>
      <w:pPr>
        <w:pStyle w:val="Bibliography"/>
      </w:pPr>
      <w:r>
        <w:t xml:space="preserve">17.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6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67"/>
    <w:bookmarkStart w:id="69" w:name="ref-Szegedy:2015"/>
    <w:p>
      <w:pPr>
        <w:pStyle w:val="Bibliography"/>
      </w:pPr>
      <w:r>
        <w:t xml:space="preserve">18.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8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69"/>
    <w:bookmarkStart w:id="70" w:name="ref-LeCun1998"/>
    <w:p>
      <w:pPr>
        <w:pStyle w:val="Bibliography"/>
      </w:pPr>
      <w:r>
        <w:t xml:space="preserve">19.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70"/>
    <w:bookmarkStart w:id="71" w:name="ref-Fukushima:1980aa"/>
    <w:p>
      <w:pPr>
        <w:pStyle w:val="Bibliography"/>
      </w:pPr>
      <w:r>
        <w:t xml:space="preserve">20.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71"/>
    <w:bookmarkStart w:id="72" w:name="ref-HUBEL:1962aa"/>
    <w:p>
      <w:pPr>
        <w:pStyle w:val="Bibliography"/>
      </w:pPr>
      <w:r>
        <w:t xml:space="preserve">21.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72"/>
    <w:bookmarkStart w:id="74" w:name="ref-Litjens:2017aa"/>
    <w:p>
      <w:pPr>
        <w:pStyle w:val="Bibliography"/>
      </w:pPr>
      <w:r>
        <w:t xml:space="preserve">22.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73">
        <w:r>
          <w:rPr>
            <w:rStyle w:val="Hyperlink"/>
          </w:rPr>
          <w:t xml:space="preserve">10.1016/j.media.2017.07.005</w:t>
        </w:r>
      </w:hyperlink>
    </w:p>
    <w:bookmarkEnd w:id="74"/>
    <w:bookmarkStart w:id="75" w:name="ref-Ronneberger:2015aa"/>
    <w:p>
      <w:pPr>
        <w:pStyle w:val="Bibliography"/>
      </w:pPr>
      <w:r>
        <w:t xml:space="preserve">23.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75"/>
    <w:bookmarkStart w:id="76" w:name="ref-Tustison:2016aa"/>
    <w:p>
      <w:pPr>
        <w:pStyle w:val="Bibliography"/>
      </w:pPr>
      <w:r>
        <w:t xml:space="preserve">24.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76"/>
    <w:bookmarkStart w:id="78" w:name="ref-Taylor:2017aa"/>
    <w:p>
      <w:pPr>
        <w:pStyle w:val="Bibliography"/>
      </w:pPr>
      <w:r>
        <w:t xml:space="preserve">25.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7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78"/>
    <w:bookmarkStart w:id="80" w:name="ref-Tustison:2013ac"/>
    <w:p>
      <w:pPr>
        <w:pStyle w:val="Bibliography"/>
      </w:pPr>
      <w:r>
        <w:t xml:space="preserve">26.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79">
        <w:r>
          <w:rPr>
            <w:rStyle w:val="Hyperlink"/>
          </w:rPr>
          <w:t xml:space="preserve">10.3389/fninf.2013.00039</w:t>
        </w:r>
      </w:hyperlink>
    </w:p>
    <w:bookmarkEnd w:id="80"/>
    <w:bookmarkStart w:id="82" w:name="ref-Avants:2011ab"/>
    <w:p>
      <w:pPr>
        <w:pStyle w:val="Bibliography"/>
      </w:pPr>
      <w:r>
        <w:t xml:space="preserve">27.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81">
        <w:r>
          <w:rPr>
            <w:rStyle w:val="Hyperlink"/>
          </w:rPr>
          <w:t xml:space="preserve">10.1016/j.neuroimage.2010.09.025</w:t>
        </w:r>
      </w:hyperlink>
    </w:p>
    <w:bookmarkEnd w:id="82"/>
    <w:bookmarkStart w:id="84" w:name="ref-antsr"/>
    <w:p>
      <w:pPr>
        <w:pStyle w:val="Bibliography"/>
      </w:pPr>
      <w:r>
        <w:t xml:space="preserve">28. Available at</w:t>
      </w:r>
      <w:r>
        <w:t xml:space="preserve"> </w:t>
      </w:r>
      <w:hyperlink r:id="rId8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84"/>
    <w:bookmarkStart w:id="86" w:name="ref-deepventnet"/>
    <w:p>
      <w:pPr>
        <w:pStyle w:val="Bibliography"/>
      </w:pPr>
      <w:r>
        <w:t xml:space="preserve">29. Available at</w:t>
      </w:r>
      <w:r>
        <w:t xml:space="preserve"> </w:t>
      </w:r>
      <w:hyperlink r:id="rId8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86"/>
    <w:bookmarkStart w:id="88" w:name="ref-Altes:2017aa"/>
    <w:p>
      <w:pPr>
        <w:pStyle w:val="Bibliography"/>
      </w:pPr>
      <w:r>
        <w:t xml:space="preserve">30.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87">
        <w:r>
          <w:rPr>
            <w:rStyle w:val="Hyperlink"/>
          </w:rPr>
          <w:t xml:space="preserve">10.1016/j.jcf.2016.12.004</w:t>
        </w:r>
      </w:hyperlink>
    </w:p>
    <w:bookmarkEnd w:id="88"/>
    <w:bookmarkStart w:id="90" w:name="ref-Tustison:2010ac"/>
    <w:p>
      <w:pPr>
        <w:pStyle w:val="Bibliography"/>
      </w:pPr>
      <w:r>
        <w:t xml:space="preserve">31.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89">
        <w:r>
          <w:rPr>
            <w:rStyle w:val="Hyperlink"/>
          </w:rPr>
          <w:t xml:space="preserve">10.1109/TMI.2010.2046908</w:t>
        </w:r>
      </w:hyperlink>
    </w:p>
    <w:bookmarkEnd w:id="90"/>
    <w:bookmarkStart w:id="92" w:name="ref-Qing:2015aa"/>
    <w:p>
      <w:pPr>
        <w:pStyle w:val="Bibliography"/>
      </w:pPr>
      <w:r>
        <w:t xml:space="preserve">32.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91">
        <w:r>
          <w:rPr>
            <w:rStyle w:val="Hyperlink"/>
          </w:rPr>
          <w:t xml:space="preserve">10.1002/mrm.25499</w:t>
        </w:r>
      </w:hyperlink>
    </w:p>
    <w:bookmarkEnd w:id="92"/>
    <w:bookmarkStart w:id="93" w:name="ref-wang2013"/>
    <w:p>
      <w:pPr>
        <w:pStyle w:val="Bibliography"/>
      </w:pPr>
      <w:r>
        <w:t xml:space="preserve">33. Wang, H., Suh, J. W., Das, S. R., Pluta, J., Craige, C., and Yushkevich, P. A. “</w:t>
      </w:r>
      <w:r>
        <w:rPr>
          <w:b/>
        </w:rPr>
        <w:t xml:space="preserve">Multi-Atlas Segmentation with Joint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93"/>
    <w:bookmarkStart w:id="95" w:name="ref-lungLobeEstimation"/>
    <w:p>
      <w:pPr>
        <w:pStyle w:val="Bibliography"/>
      </w:pPr>
      <w:r>
        <w:t xml:space="preserve">34. Available at</w:t>
      </w:r>
      <w:r>
        <w:t xml:space="preserve"> </w:t>
      </w:r>
      <w:hyperlink r:id="rId9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95"/>
    <w:bookmarkStart w:id="97" w:name="ref-lungVentilationSegmentation"/>
    <w:p>
      <w:pPr>
        <w:pStyle w:val="Bibliography"/>
      </w:pPr>
      <w:r>
        <w:t xml:space="preserve">35. Available at</w:t>
      </w:r>
      <w:r>
        <w:t xml:space="preserve"> </w:t>
      </w:r>
      <w:hyperlink r:id="rId9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97"/>
    <w:bookmarkStart w:id="98" w:name="ref-tustison2010"/>
    <w:p>
      <w:pPr>
        <w:pStyle w:val="Bibliography"/>
      </w:pPr>
      <w:r>
        <w:t xml:space="preserve">36.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89">
        <w:r>
          <w:rPr>
            <w:rStyle w:val="Hyperlink"/>
          </w:rPr>
          <w:t xml:space="preserve">10.1109/TMI.2010.2046908</w:t>
        </w:r>
      </w:hyperlink>
    </w:p>
    <w:bookmarkEnd w:id="98"/>
    <w:bookmarkStart w:id="100" w:name="ref-Manjon:2010aa"/>
    <w:p>
      <w:pPr>
        <w:pStyle w:val="Bibliography"/>
      </w:pPr>
      <w:r>
        <w:t xml:space="preserve">37.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99">
        <w:r>
          <w:rPr>
            <w:rStyle w:val="Hyperlink"/>
          </w:rPr>
          <w:t xml:space="preserve">10.1002/jmri.22003</w:t>
        </w:r>
      </w:hyperlink>
    </w:p>
    <w:bookmarkEnd w:id="100"/>
    <w:bookmarkStart w:id="102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1">
        <w:r>
          <w:rPr>
            <w:rStyle w:val="Hyperlink"/>
          </w:rPr>
          <w:t xml:space="preserve">10.1109/TPAMI.2016.2572683</w:t>
        </w:r>
      </w:hyperlink>
    </w:p>
    <w:bookmarkEnd w:id="102"/>
    <w:bookmarkStart w:id="103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Overfitting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3"/>
    <w:bookmarkStart w:id="105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4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5"/>
    <w:bookmarkStart w:id="107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6">
        <w:r>
          <w:rPr>
            <w:rStyle w:val="Hyperlink"/>
          </w:rPr>
          <w:t xml:space="preserve">10.1016/j.neuroimage.2009.09.062</w:t>
        </w:r>
      </w:hyperlink>
    </w:p>
    <w:bookmarkEnd w:id="107"/>
    <w:bookmarkStart w:id="109" w:name="ref-Yang:2017aa"/>
    <w:p>
      <w:pPr>
        <w:pStyle w:val="Bibliography"/>
      </w:pPr>
      <w:r>
        <w:t xml:space="preserve">42. Yang, X., Kwitt, R., Styner, M., and Niethammer, M. “</w:t>
      </w:r>
      <w:r>
        <w:rPr>
          <w:b/>
        </w:rPr>
        <w:t xml:space="preserve">Quicksilver: Fast Predictive Image Registration - a Deep Learning Approach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158, (2017): 378–396. doi:</w:t>
      </w:r>
      <w:hyperlink r:id="rId108">
        <w:r>
          <w:rPr>
            <w:rStyle w:val="Hyperlink"/>
          </w:rPr>
          <w:t xml:space="preserve">10.1016/j.neuroimage.2017.07.008</w:t>
        </w:r>
      </w:hyperlink>
    </w:p>
    <w:bookmarkEnd w:id="109"/>
    <w:bookmarkStart w:id="111" w:name="ref-figshareData"/>
    <w:p>
      <w:pPr>
        <w:pStyle w:val="Bibliography"/>
      </w:pPr>
      <w:r>
        <w:t xml:space="preserve">43. Available at</w:t>
      </w:r>
      <w:r>
        <w:t xml:space="preserve"> </w:t>
      </w:r>
      <w:hyperlink r:id="rId110">
        <w:r>
          <w:rPr>
            <w:rStyle w:val="Hyperlink"/>
          </w:rPr>
          <w:t xml:space="preserve">https://doi.org/10.6084/m9.figshare.4964915.v1</w:t>
        </w:r>
      </w:hyperlink>
      <w:r>
        <w:t xml:space="preserve"> </w:t>
      </w:r>
    </w:p>
    <w:bookmarkEnd w:id="111"/>
    <w:bookmarkStart w:id="112" w:name="ref-Cullen:2018aa"/>
    <w:p>
      <w:pPr>
        <w:pStyle w:val="Bibliography"/>
      </w:pPr>
      <w:r>
        <w:t xml:space="preserve">44. Cullen, N. C. and Avants, B. B. “</w:t>
      </w:r>
      <w:r>
        <w:rPr>
          <w:b/>
        </w:rPr>
        <w:t xml:space="preserve">Convolutional Neural Networks for Rapid and Simultaneous Brain Extraction and Tissue Segmentation</w:t>
      </w:r>
      <w:r>
        <w:t xml:space="preserve">”</w:t>
      </w:r>
      <w:r>
        <w:t xml:space="preserve"> </w:t>
      </w:r>
      <w:r>
        <w:rPr>
          <w:i/>
        </w:rPr>
        <w:t xml:space="preserve">Brain morphometry</w:t>
      </w:r>
      <w:r>
        <w:t xml:space="preserve"> </w:t>
      </w:r>
      <w:r>
        <w:t xml:space="preserve">136, (2018): 13–36.</w:t>
      </w:r>
      <w:r>
        <w:t xml:space="preserve"> </w:t>
      </w:r>
    </w:p>
    <w:bookmarkEnd w:id="112"/>
    <w:bookmarkStart w:id="114" w:name="ref-Nyul:2000aa"/>
    <w:p>
      <w:pPr>
        <w:pStyle w:val="Bibliography"/>
      </w:pPr>
      <w:r>
        <w:t xml:space="preserve">45.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13">
        <w:r>
          <w:rPr>
            <w:rStyle w:val="Hyperlink"/>
          </w:rPr>
          <w:t xml:space="preserve">10.1109/42.836373</w:t>
        </w:r>
      </w:hyperlink>
    </w:p>
    <w:bookmarkEnd w:id="114"/>
    <w:bookmarkStart w:id="115" w:name="ref-Nair2010"/>
    <w:p>
      <w:pPr>
        <w:pStyle w:val="Bibliography"/>
      </w:pPr>
      <w:r>
        <w:t xml:space="preserve">46.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5"/>
    <w:bookmarkStart w:id="117" w:name="ref-Warfield:2004aa"/>
    <w:p>
      <w:pPr>
        <w:pStyle w:val="Bibliography"/>
      </w:pPr>
      <w:r>
        <w:t xml:space="preserve">47.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6">
        <w:r>
          <w:rPr>
            <w:rStyle w:val="Hyperlink"/>
          </w:rPr>
          <w:t xml:space="preserve">10.1109/TMI.2004.828354</w:t>
        </w:r>
      </w:hyperlink>
    </w:p>
    <w:bookmarkEnd w:id="117"/>
    <w:bookmarkStart w:id="118" w:name="ref-Wong:2016aa"/>
    <w:p>
      <w:pPr>
        <w:pStyle w:val="Bibliography"/>
      </w:pPr>
      <w:r>
        <w:t xml:space="preserve">48. Wong, S. C., Gatt, A., Stamatescu, V., and McDonnell, M. D. “</w:t>
      </w:r>
      <w:r>
        <w:rPr>
          <w:b/>
        </w:rPr>
        <w:t xml:space="preserve">Understanding Data Augmentation for Classification: When to Warp?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abs/1609.08764, (2016):</w:t>
      </w:r>
      <w:r>
        <w:t xml:space="preserve"> </w:t>
      </w:r>
    </w:p>
    <w:bookmarkEnd w:id="118"/>
    <w:bookmarkStart w:id="120" w:name="ref-Milletari:2016"/>
    <w:p>
      <w:pPr>
        <w:pStyle w:val="Bibliography"/>
      </w:pPr>
      <w:r>
        <w:t xml:space="preserve">49.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9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20"/>
    <w:bookmarkStart w:id="122" w:name="ref-He:2015"/>
    <w:p>
      <w:pPr>
        <w:pStyle w:val="Bibliography"/>
      </w:pPr>
      <w:r>
        <w:t xml:space="preserve">50.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21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22"/>
    <w:bookmarkStart w:id="124" w:name="ref-Xie:2016"/>
    <w:p>
      <w:pPr>
        <w:pStyle w:val="Bibliography"/>
      </w:pPr>
      <w:r>
        <w:t xml:space="preserve">51.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3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4"/>
    <w:bookmarkStart w:id="126" w:name="ref-Huang:2016"/>
    <w:p>
      <w:pPr>
        <w:pStyle w:val="Bibliography"/>
      </w:pPr>
      <w:r>
        <w:t xml:space="preserve">52.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5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6"/>
    <w:bookmarkStart w:id="128" w:name="ref-Liu:2015"/>
    <w:p>
      <w:pPr>
        <w:pStyle w:val="Bibliography"/>
      </w:pPr>
      <w:r>
        <w:t xml:space="preserve">53.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7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8"/>
    <w:bookmarkStart w:id="130" w:name="ref-ssd7"/>
    <w:p>
      <w:pPr>
        <w:pStyle w:val="Bibliography"/>
      </w:pPr>
      <w:r>
        <w:t xml:space="preserve">54. Available at</w:t>
      </w:r>
      <w:r>
        <w:t xml:space="preserve"> </w:t>
      </w:r>
      <w:hyperlink r:id="rId129">
        <w:r>
          <w:rPr>
            <w:rStyle w:val="Hyperlink"/>
          </w:rPr>
          <w:t xml:space="preserve">https://github.com/pierluigiferrari/ssd_keras</w:t>
        </w:r>
      </w:hyperlink>
      <w:r>
        <w:t xml:space="preserve"> </w:t>
      </w:r>
    </w:p>
    <w:bookmarkEnd w:id="130"/>
    <w:bookmarkStart w:id="132" w:name="ref-Dong:2016aa"/>
    <w:p>
      <w:pPr>
        <w:pStyle w:val="Bibliography"/>
      </w:pPr>
      <w:r>
        <w:t xml:space="preserve">55. Dong, C., Loy, C. C., He, K., and Tang, X. “</w:t>
      </w:r>
      <w:r>
        <w:rPr>
          <w:b/>
        </w:rPr>
        <w:t xml:space="preserve">Image Super-Resolution Using Deep Convolutional Networks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38, no. 2 (2016): 295–307. doi:</w:t>
      </w:r>
      <w:hyperlink r:id="rId131">
        <w:r>
          <w:rPr>
            <w:rStyle w:val="Hyperlink"/>
          </w:rPr>
          <w:t xml:space="preserve">10.1109/TPAMI.2015.2439281</w:t>
        </w:r>
      </w:hyperlink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rxiv.org/abs/1409.1556" TargetMode="External" /><Relationship Type="http://schemas.openxmlformats.org/officeDocument/2006/relationships/hyperlink" Id="rId68" Target="http://arxiv.org/abs/1512.00567" TargetMode="External" /><Relationship Type="http://schemas.openxmlformats.org/officeDocument/2006/relationships/hyperlink" Id="rId127" Target="http://arxiv.org/abs/1512.02325" TargetMode="External" /><Relationship Type="http://schemas.openxmlformats.org/officeDocument/2006/relationships/hyperlink" Id="rId121" Target="http://arxiv.org/abs/1512.03385" TargetMode="External" /><Relationship Type="http://schemas.openxmlformats.org/officeDocument/2006/relationships/hyperlink" Id="rId119" Target="http://arxiv.org/abs/1606.04797" TargetMode="External" /><Relationship Type="http://schemas.openxmlformats.org/officeDocument/2006/relationships/hyperlink" Id="rId125" Target="http://arxiv.org/abs/1608.06993" TargetMode="External" /><Relationship Type="http://schemas.openxmlformats.org/officeDocument/2006/relationships/hyperlink" Id="rId123" Target="http://arxiv.org/abs/1611.05431" TargetMode="External" /><Relationship Type="http://schemas.openxmlformats.org/officeDocument/2006/relationships/hyperlink" Id="rId77" Target="http://arxiv.org/abs/1708.06020" TargetMode="External" /><Relationship Type="http://schemas.openxmlformats.org/officeDocument/2006/relationships/hyperlink" Id="rId64" Target="http://dl.acm.org/citation.cfm?id=2999134.2999257" TargetMode="External" /><Relationship Type="http://schemas.openxmlformats.org/officeDocument/2006/relationships/hyperlink" Id="rId9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7" Target="https://doi.org/10.1016/j.jcf.2016.12.004" TargetMode="External" /><Relationship Type="http://schemas.openxmlformats.org/officeDocument/2006/relationships/hyperlink" Id="rId7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6" Target="https://doi.org/10.1016/j.neuroimage.2009.09.062" TargetMode="External" /><Relationship Type="http://schemas.openxmlformats.org/officeDocument/2006/relationships/hyperlink" Id="rId81" Target="https://doi.org/10.1016/j.neuroimage.2010.09.025" TargetMode="External" /><Relationship Type="http://schemas.openxmlformats.org/officeDocument/2006/relationships/hyperlink" Id="rId108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3" Target="https://doi.org/10.1109/42.836373" TargetMode="External" /><Relationship Type="http://schemas.openxmlformats.org/officeDocument/2006/relationships/hyperlink" Id="rId116" Target="https://doi.org/10.1109/TMI.2004.828354" TargetMode="External" /><Relationship Type="http://schemas.openxmlformats.org/officeDocument/2006/relationships/hyperlink" Id="rId89" Target="https://doi.org/10.1109/TMI.2010.2046908" TargetMode="External" /><Relationship Type="http://schemas.openxmlformats.org/officeDocument/2006/relationships/hyperlink" Id="rId131" Target="https://doi.org/10.1109/TPAMI.2015.2439281" TargetMode="External" /><Relationship Type="http://schemas.openxmlformats.org/officeDocument/2006/relationships/hyperlink" Id="rId101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79" Target="https://doi.org/10.3389/fninf.2013.00039" TargetMode="External" /><Relationship Type="http://schemas.openxmlformats.org/officeDocument/2006/relationships/hyperlink" Id="rId110" Target="https://doi.org/10.6084/m9.figshare.4964915.v1" TargetMode="External" /><Relationship Type="http://schemas.openxmlformats.org/officeDocument/2006/relationships/hyperlink" Id="rId104" Target="https://github.com/ANTsX/ANTsRNet" TargetMode="External" /><Relationship Type="http://schemas.openxmlformats.org/officeDocument/2006/relationships/hyperlink" Id="rId85" Target="https://github.com/ntustison/DeepVentNet" TargetMode="External" /><Relationship Type="http://schemas.openxmlformats.org/officeDocument/2006/relationships/hyperlink" Id="rId94" Target="https://github.com/ntustison/LungAndLobeEstimationExample" TargetMode="External" /><Relationship Type="http://schemas.openxmlformats.org/officeDocument/2006/relationships/hyperlink" Id="rId96" Target="https://github.com/ntustison/LungVentilationSegmentationExample" TargetMode="External" /><Relationship Type="http://schemas.openxmlformats.org/officeDocument/2006/relationships/hyperlink" Id="rId129" Target="https://github.com/pierluigiferrari/ssd_keras" TargetMode="External" /><Relationship Type="http://schemas.openxmlformats.org/officeDocument/2006/relationships/hyperlink" Id="rId8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rxiv.org/abs/1409.1556" TargetMode="External" /><Relationship Type="http://schemas.openxmlformats.org/officeDocument/2006/relationships/hyperlink" Id="rId68" Target="http://arxiv.org/abs/1512.00567" TargetMode="External" /><Relationship Type="http://schemas.openxmlformats.org/officeDocument/2006/relationships/hyperlink" Id="rId127" Target="http://arxiv.org/abs/1512.02325" TargetMode="External" /><Relationship Type="http://schemas.openxmlformats.org/officeDocument/2006/relationships/hyperlink" Id="rId121" Target="http://arxiv.org/abs/1512.03385" TargetMode="External" /><Relationship Type="http://schemas.openxmlformats.org/officeDocument/2006/relationships/hyperlink" Id="rId119" Target="http://arxiv.org/abs/1606.04797" TargetMode="External" /><Relationship Type="http://schemas.openxmlformats.org/officeDocument/2006/relationships/hyperlink" Id="rId125" Target="http://arxiv.org/abs/1608.06993" TargetMode="External" /><Relationship Type="http://schemas.openxmlformats.org/officeDocument/2006/relationships/hyperlink" Id="rId123" Target="http://arxiv.org/abs/1611.05431" TargetMode="External" /><Relationship Type="http://schemas.openxmlformats.org/officeDocument/2006/relationships/hyperlink" Id="rId77" Target="http://arxiv.org/abs/1708.06020" TargetMode="External" /><Relationship Type="http://schemas.openxmlformats.org/officeDocument/2006/relationships/hyperlink" Id="rId64" Target="http://dl.acm.org/citation.cfm?id=2999134.2999257" TargetMode="External" /><Relationship Type="http://schemas.openxmlformats.org/officeDocument/2006/relationships/hyperlink" Id="rId9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7" Target="https://doi.org/10.1016/j.jcf.2016.12.004" TargetMode="External" /><Relationship Type="http://schemas.openxmlformats.org/officeDocument/2006/relationships/hyperlink" Id="rId7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6" Target="https://doi.org/10.1016/j.neuroimage.2009.09.062" TargetMode="External" /><Relationship Type="http://schemas.openxmlformats.org/officeDocument/2006/relationships/hyperlink" Id="rId81" Target="https://doi.org/10.1016/j.neuroimage.2010.09.025" TargetMode="External" /><Relationship Type="http://schemas.openxmlformats.org/officeDocument/2006/relationships/hyperlink" Id="rId108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3" Target="https://doi.org/10.1109/42.836373" TargetMode="External" /><Relationship Type="http://schemas.openxmlformats.org/officeDocument/2006/relationships/hyperlink" Id="rId116" Target="https://doi.org/10.1109/TMI.2004.828354" TargetMode="External" /><Relationship Type="http://schemas.openxmlformats.org/officeDocument/2006/relationships/hyperlink" Id="rId89" Target="https://doi.org/10.1109/TMI.2010.2046908" TargetMode="External" /><Relationship Type="http://schemas.openxmlformats.org/officeDocument/2006/relationships/hyperlink" Id="rId131" Target="https://doi.org/10.1109/TPAMI.2015.2439281" TargetMode="External" /><Relationship Type="http://schemas.openxmlformats.org/officeDocument/2006/relationships/hyperlink" Id="rId101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79" Target="https://doi.org/10.3389/fninf.2013.00039" TargetMode="External" /><Relationship Type="http://schemas.openxmlformats.org/officeDocument/2006/relationships/hyperlink" Id="rId110" Target="https://doi.org/10.6084/m9.figshare.4964915.v1" TargetMode="External" /><Relationship Type="http://schemas.openxmlformats.org/officeDocument/2006/relationships/hyperlink" Id="rId104" Target="https://github.com/ANTsX/ANTsRNet" TargetMode="External" /><Relationship Type="http://schemas.openxmlformats.org/officeDocument/2006/relationships/hyperlink" Id="rId85" Target="https://github.com/ntustison/DeepVentNet" TargetMode="External" /><Relationship Type="http://schemas.openxmlformats.org/officeDocument/2006/relationships/hyperlink" Id="rId94" Target="https://github.com/ntustison/LungAndLobeEstimationExample" TargetMode="External" /><Relationship Type="http://schemas.openxmlformats.org/officeDocument/2006/relationships/hyperlink" Id="rId96" Target="https://github.com/ntustison/LungVentilationSegmentationExample" TargetMode="External" /><Relationship Type="http://schemas.openxmlformats.org/officeDocument/2006/relationships/hyperlink" Id="rId129" Target="https://github.com/pierluigiferrari/ssd_keras" TargetMode="External" /><Relationship Type="http://schemas.openxmlformats.org/officeDocument/2006/relationships/hyperlink" Id="rId8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2018-08-04T03:25:13Z</dcterms:created>
  <dcterms:modified xsi:type="dcterms:W3CDTF">2018-08-04T03:25:13Z</dcterms:modified>
</cp:coreProperties>
</file>