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proton lung MRI segmentation (in terms</w:t>
      </w:r>
      <w:r>
        <w:t xml:space="preserve"> </w:t>
      </w:r>
      <w:r>
        <w:t xml:space="preserve">of Dice overlap)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Atropos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comparable results as</w:t>
      </w:r>
      <w:r>
        <w:t xml:space="preserve"> </w:t>
      </w:r>
      <w:r>
        <w:t xml:space="preserve">previously reported automated segmentation techniques. CNNs</w:t>
      </w:r>
      <w:r>
        <w:t xml:space="preserve"> </w:t>
      </w:r>
      <w:r>
        <w:t xml:space="preserve">drastically reduce processing time after offline model construction and demonstrate</w:t>
      </w:r>
      <w:r>
        <w:t xml:space="preserve"> </w:t>
      </w:r>
      <w:r>
        <w:t xml:space="preserve">significant future potential for facilitating quantitative analysis of functional lung</w:t>
      </w:r>
      <w:r>
        <w:t xml:space="preserve"> </w:t>
      </w:r>
      <w:r>
        <w:t xml:space="preserve">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[7–11]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[12]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maching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[13]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[14]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[15]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[16]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[7–9]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[17]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[18]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constrainted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[19]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[20]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[21]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rPr>
          <w:b/>
        </w:rPr>
        <w:t xml:space="preserve">Ventilation.</w:t>
      </w:r>
      <w:r>
        <w:t xml:space="preserve"> </w:t>
      </w:r>
      <w:r>
        <w:t xml:space="preserve">Hyperpolarized MR image acquisition was performed under an Institutional Review Board</w:t>
      </w:r>
      <w:r>
        <w:t xml:space="preserve"> </w:t>
      </w:r>
      <w:r>
        <w:t xml:space="preserve">(IRB)-approved protocol with written informed consent obtained from each subject.</w:t>
      </w:r>
      <w:r>
        <w:t xml:space="preserve"> </w:t>
      </w:r>
      <w:r>
        <w:t xml:space="preserve">In addition, all imaging was performed under an Food and Drug Administration</w:t>
      </w:r>
      <w:r>
        <w:t xml:space="preserve"> </w:t>
      </w:r>
      <w:r>
        <w:t xml:space="preserve">(FDA)-approved physician’s Investigational New Drug application (IND 57866)</w:t>
      </w:r>
      <w:r>
        <w:t xml:space="preserve"> </w:t>
      </w:r>
      <w:r>
        <w:t xml:space="preserve">for hyperpolarized gas. MRI data were acquired on a 1.5 T whole-body MRI scanner</w:t>
      </w:r>
      <w:r>
        <w:t xml:space="preserve"> </w:t>
      </w:r>
      <w:r>
        <w:t xml:space="preserve">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 hyperpolarized gas, a set</w:t>
      </w:r>
      <w:r>
        <w:t xml:space="preserve"> </w:t>
      </w:r>
      <w:r>
        <w:t xml:space="preserve">of 19–28 contiguous axial sections were collected. Parameters of the fast low angle shot sequence</w:t>
      </w:r>
      <w:r>
        <w:t xml:space="preserve"> </w:t>
      </w:r>
      <w:r>
        <w:t xml:space="preserve">were as follows: repetition time msec / echo time msec, 7/3; flip angle</w:t>
      </w:r>
      <w:r>
        <w:t xml:space="preserve"> </w:t>
      </w:r>
      <w:r>
        <w:t xml:space="preserve">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</w:t>
      </w:r>
      <w:r>
        <w:t xml:space="preserve"> </w:t>
      </w:r>
      <w:r>
        <w:t xml:space="preserve">and intersection gap, none.</w:t>
      </w:r>
      <w:r>
        <w:t xml:space="preserve"> </w:t>
      </w:r>
      <w:r>
        <w:t xml:space="preserve">Total acquisition time varies between 5-8 seconds depending on the size of the subjects.</w:t>
      </w:r>
    </w:p>
    <w:p>
      <w:pPr>
        <w:pStyle w:val="BodyText"/>
      </w:pPr>
      <w:r>
        <w:rPr>
          <w:b/>
        </w:rPr>
        <w:t xml:space="preserve">Proton.</w:t>
      </w:r>
      <w:r>
        <w:t xml:space="preserve"> </w:t>
      </w:r>
      <w:r>
        <w:t xml:space="preserve">A three-dimensional (3D) proton gradient-echo sequence</w:t>
      </w:r>
      <w:r>
        <w:t xml:space="preserve"> </w:t>
      </w:r>
      <w:r>
        <w:t xml:space="preserve">(repetition time [TR]:1.80 ms, echo time [TE] 0.78 ms, flip angle 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</w:t>
      </w:r>
      <w:r>
        <w:t xml:space="preserve"> </w:t>
      </w:r>
      <w:r>
        <w:t xml:space="preserve">pixel 1090 Hz/Pixel, partial Fourier: phase direction 6/8, slice direction 6/8)</w:t>
      </w:r>
      <w:r>
        <w:t xml:space="preserve"> </w:t>
      </w:r>
      <w:r>
        <w:t xml:space="preserve">was used to acquire multiple images sets from multiple subjects at varying inflation levels.</w:t>
      </w:r>
      <w:r>
        <w:t xml:space="preserve"> </w:t>
      </w:r>
      <w:r>
        <w:t xml:space="preserve">Acquisition time was 4 sec per image set. All imaging studies were performed under a</w:t>
      </w:r>
      <w:r>
        <w:t xml:space="preserve"> </w:t>
      </w:r>
      <w:r>
        <w:t xml:space="preserve">physician’s Investigational New Drug application for hyperpolarized gas imaging using a protocol approved</w:t>
      </w:r>
      <w:r>
        <w:t xml:space="preserve"> </w:t>
      </w:r>
      <w:r>
        <w:t xml:space="preserve">by Institutional Review Board of our institute. All subjects provided written informed consent</w:t>
      </w:r>
      <w:r>
        <w:t xml:space="preserve"> </w:t>
      </w:r>
      <w:r>
        <w:t xml:space="preserve">and the data were deidentified 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[7, 16]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[7]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which is optimized</w:t>
      </w:r>
      <w:r>
        <w:t xml:space="preserve"> </w:t>
      </w:r>
      <w:r>
        <w:t xml:space="preserve">via the expectation-maximization algorithm. The resulting software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[22,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means and</w:t>
      </w:r>
      <w:r>
        <w:t xml:space="preserve"> </w:t>
      </w:r>
      <w:r>
        <w:t xml:space="preserve">standard deviations designed to model the intensities 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also perform an outer iteration</w:t>
      </w:r>
      <w:r>
        <w:t xml:space="preserve"> </w:t>
      </w:r>
      <w:r>
        <w:t xml:space="preserve">with this segmentation approach with the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segmentation methods which rely solely on intensity distributions thus discarding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[8, 10]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[9]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[16]</w:t>
      </w:r>
      <w:r>
        <w:t xml:space="preserve">. This permits us to first identify the lung mask in the proton</w:t>
      </w:r>
      <w:r>
        <w:t xml:space="preserve"> </w:t>
      </w:r>
      <w:r>
        <w:t xml:space="preserve">MRI which is readily transferred to the space of the corresponding ventilation MR</w:t>
      </w:r>
      <w:r>
        <w:t xml:space="preserve"> </w:t>
      </w:r>
      <w:r>
        <w:t xml:space="preserve">image. The JLF method relies on a set of atlases (proton MRI plus labeling)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segmentations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[7]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[16]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[15]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inferred.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batch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In order to generate data cohorts of sufficient size necessary for deep learning</w:t>
      </w:r>
      <w:r>
        <w:t xml:space="preserve"> </w:t>
      </w:r>
      <w:r>
        <w:t xml:space="preserve">techniques, we have designed a template-based data augmentation strategy. The need</w:t>
      </w:r>
      <w:r>
        <w:t xml:space="preserve"> </w:t>
      </w:r>
      <w:r>
        <w:t xml:space="preserve">for large training data sets is a well-known limitation associated with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images, such data access is not always</w:t>
      </w:r>
      <w:r>
        <w:t xml:space="preserve"> </w:t>
      </w:r>
      <w:r>
        <w:t xml:space="preserve">available and such is typically the case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[17]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data is propagated to the space of every other individual training</w:t>
      </w:r>
      <w:r>
        <w:t xml:space="preserve"> </w:t>
      </w:r>
      <w:r>
        <w:t xml:space="preserve">data.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be 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 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[21]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computtational</w:t>
      </w:r>
      <w:r>
        <w:t xml:space="preserve"> </w:t>
      </w:r>
      <w:r>
        <w:t xml:space="preserve">resources. In contrast, we built a 2-D U-net model for the ventilation images.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br w:type="textWrapping"/>
      </w:r>
      <w:r>
        <w:t xml:space="preserve">Resampling of each image (linear interpolation) and segmentation</w:t>
      </w:r>
      <w:r>
        <w:t xml:space="preserve"> </w:t>
      </w:r>
      <w:r>
        <w:t xml:space="preserve">(generic label interpolation)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[20]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 learning rate = 0.00001</w:t>
      </w:r>
    </w:p>
    <w:p>
      <w:pPr>
        <w:pStyle w:val="Compact"/>
        <w:numPr>
          <w:numId w:val="1002"/>
          <w:ilvl w:val="0"/>
        </w:numPr>
      </w:pPr>
      <w:r>
        <w:t xml:space="preserve">Number of epochs: 200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3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3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3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4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5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5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6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[7]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[7]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[19]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[7]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  <w:r>
        <w:t xml:space="preserve"> </w:t>
      </w:r>
      <w:r>
        <w:t xml:space="preserve">It demonstrated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Tustison:2011aa"/>
    <w:p>
      <w:pPr>
        <w:pStyle w:val="Bibliography"/>
      </w:pPr>
      <w:r>
        <w:t xml:space="preserve">7.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48">
        <w:r>
          <w:rPr>
            <w:rStyle w:val="Hyperlink"/>
          </w:rPr>
          <w:t xml:space="preserve">10.1002/jmri.22738</w:t>
        </w:r>
      </w:hyperlink>
    </w:p>
    <w:bookmarkEnd w:id="49"/>
    <w:bookmarkStart w:id="51" w:name="ref-Kirby:2012aa"/>
    <w:p>
      <w:pPr>
        <w:pStyle w:val="Bibliography"/>
      </w:pPr>
      <w:r>
        <w:t xml:space="preserve">8.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0">
        <w:r>
          <w:rPr>
            <w:rStyle w:val="Hyperlink"/>
          </w:rPr>
          <w:t xml:space="preserve">10.1016/j.acra.2011.10.007</w:t>
        </w:r>
      </w:hyperlink>
    </w:p>
    <w:bookmarkEnd w:id="51"/>
    <w:bookmarkStart w:id="53" w:name="ref-He:2014aa"/>
    <w:p>
      <w:pPr>
        <w:pStyle w:val="Bibliography"/>
      </w:pPr>
      <w:r>
        <w:t xml:space="preserve">9.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2">
        <w:r>
          <w:rPr>
            <w:rStyle w:val="Hyperlink"/>
          </w:rPr>
          <w:t xml:space="preserve">10.1016/j.acra.2014.07.017</w:t>
        </w:r>
      </w:hyperlink>
    </w:p>
    <w:bookmarkEnd w:id="53"/>
    <w:bookmarkStart w:id="55" w:name="ref-Zha:2016aa"/>
    <w:p>
      <w:pPr>
        <w:pStyle w:val="Bibliography"/>
      </w:pPr>
      <w:r>
        <w:t xml:space="preserve">10.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4">
        <w:r>
          <w:rPr>
            <w:rStyle w:val="Hyperlink"/>
          </w:rPr>
          <w:t xml:space="preserve">10.1016/j.acra.2016.04.005</w:t>
        </w:r>
      </w:hyperlink>
    </w:p>
    <w:bookmarkEnd w:id="55"/>
    <w:bookmarkStart w:id="57" w:name="ref-Hughes:2018aa"/>
    <w:p>
      <w:pPr>
        <w:pStyle w:val="Bibliography"/>
      </w:pPr>
      <w:r>
        <w:t xml:space="preserve">11.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6">
        <w:r>
          <w:rPr>
            <w:rStyle w:val="Hyperlink"/>
          </w:rPr>
          <w:t xml:space="preserve">10.1002/jmri.25804</w:t>
        </w:r>
      </w:hyperlink>
    </w:p>
    <w:bookmarkEnd w:id="57"/>
    <w:bookmarkStart w:id="59" w:name="ref-Trivedi:2017aa"/>
    <w:p>
      <w:pPr>
        <w:pStyle w:val="Bibliography"/>
      </w:pPr>
      <w:r>
        <w:t xml:space="preserve">12.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58">
        <w:r>
          <w:rPr>
            <w:rStyle w:val="Hyperlink"/>
          </w:rPr>
          <w:t xml:space="preserve">10.1016/j.jaci.2016.11.009</w:t>
        </w:r>
      </w:hyperlink>
    </w:p>
    <w:bookmarkEnd w:id="59"/>
    <w:bookmarkStart w:id="60" w:name="ref-LeCun:2015aa"/>
    <w:p>
      <w:pPr>
        <w:pStyle w:val="Bibliography"/>
      </w:pPr>
      <w:r>
        <w:t xml:space="preserve">13.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0"/>
    <w:bookmarkStart w:id="62" w:name="ref-Litjens:2017aa"/>
    <w:p>
      <w:pPr>
        <w:pStyle w:val="Bibliography"/>
      </w:pPr>
      <w:r>
        <w:t xml:space="preserve">14.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1">
        <w:r>
          <w:rPr>
            <w:rStyle w:val="Hyperlink"/>
          </w:rPr>
          <w:t xml:space="preserve">10.1016/j.media.2017.07.005</w:t>
        </w:r>
      </w:hyperlink>
    </w:p>
    <w:bookmarkEnd w:id="62"/>
    <w:bookmarkStart w:id="63" w:name="ref-Ronneberger:2015aa"/>
    <w:p>
      <w:pPr>
        <w:pStyle w:val="Bibliography"/>
      </w:pPr>
      <w:r>
        <w:t xml:space="preserve">15.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3"/>
    <w:bookmarkStart w:id="64" w:name="ref-Tustison:2016aa"/>
    <w:p>
      <w:pPr>
        <w:pStyle w:val="Bibliography"/>
      </w:pPr>
      <w:r>
        <w:t xml:space="preserve">16.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4"/>
    <w:bookmarkStart w:id="66" w:name="ref-Taylor:2017aa"/>
    <w:p>
      <w:pPr>
        <w:pStyle w:val="Bibliography"/>
      </w:pPr>
      <w:r>
        <w:t xml:space="preserve">17.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5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6"/>
    <w:bookmarkStart w:id="68" w:name="ref-Tustison:2013ac"/>
    <w:p>
      <w:pPr>
        <w:pStyle w:val="Bibliography"/>
      </w:pPr>
      <w:r>
        <w:t xml:space="preserve">18.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7">
        <w:r>
          <w:rPr>
            <w:rStyle w:val="Hyperlink"/>
          </w:rPr>
          <w:t xml:space="preserve">10.3389/fninf.2013.00039</w:t>
        </w:r>
      </w:hyperlink>
    </w:p>
    <w:bookmarkEnd w:id="68"/>
    <w:bookmarkStart w:id="70" w:name="ref-Avants:2011ab"/>
    <w:p>
      <w:pPr>
        <w:pStyle w:val="Bibliography"/>
      </w:pPr>
      <w:r>
        <w:t xml:space="preserve">19.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69">
        <w:r>
          <w:rPr>
            <w:rStyle w:val="Hyperlink"/>
          </w:rPr>
          <w:t xml:space="preserve">10.1016/j.neuroimage.2010.09.025</w:t>
        </w:r>
      </w:hyperlink>
    </w:p>
    <w:bookmarkEnd w:id="70"/>
    <w:bookmarkStart w:id="72" w:name="ref-antsr"/>
    <w:p>
      <w:pPr>
        <w:pStyle w:val="Bibliography"/>
      </w:pPr>
      <w:r>
        <w:t xml:space="preserve">20. Available at</w:t>
      </w:r>
      <w:r>
        <w:t xml:space="preserve"> </w:t>
      </w:r>
      <w:hyperlink r:id="rId71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2"/>
    <w:bookmarkStart w:id="74" w:name="ref-deepventnet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4"/>
    <w:bookmarkStart w:id="76" w:name="ref-Altes:2016aa"/>
    <w:p>
      <w:pPr>
        <w:pStyle w:val="Bibliography"/>
      </w:pPr>
      <w:r>
        <w:t xml:space="preserve">22.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75">
        <w:r>
          <w:rPr>
            <w:rStyle w:val="Hyperlink"/>
          </w:rPr>
          <w:t xml:space="preserve">10.1016/j.jaci.2015.08.045</w:t>
        </w:r>
      </w:hyperlink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5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48" Target="https://doi.org/10.1002/jmri.22738" TargetMode="External" /><Relationship Type="http://schemas.openxmlformats.org/officeDocument/2006/relationships/hyperlink" Id="rId56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0" Target="https://doi.org/10.1016/j.acra.2011.10.007" TargetMode="External" /><Relationship Type="http://schemas.openxmlformats.org/officeDocument/2006/relationships/hyperlink" Id="rId52" Target="https://doi.org/10.1016/j.acra.2014.07.017" TargetMode="External" /><Relationship Type="http://schemas.openxmlformats.org/officeDocument/2006/relationships/hyperlink" Id="rId54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75" Target="https://doi.org/10.1016/j.jaci.2015.08.045" TargetMode="External" /><Relationship Type="http://schemas.openxmlformats.org/officeDocument/2006/relationships/hyperlink" Id="rId58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1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69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7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3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1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5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48" Target="https://doi.org/10.1002/jmri.22738" TargetMode="External" /><Relationship Type="http://schemas.openxmlformats.org/officeDocument/2006/relationships/hyperlink" Id="rId56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0" Target="https://doi.org/10.1016/j.acra.2011.10.007" TargetMode="External" /><Relationship Type="http://schemas.openxmlformats.org/officeDocument/2006/relationships/hyperlink" Id="rId52" Target="https://doi.org/10.1016/j.acra.2014.07.017" TargetMode="External" /><Relationship Type="http://schemas.openxmlformats.org/officeDocument/2006/relationships/hyperlink" Id="rId54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75" Target="https://doi.org/10.1016/j.jaci.2015.08.045" TargetMode="External" /><Relationship Type="http://schemas.openxmlformats.org/officeDocument/2006/relationships/hyperlink" Id="rId58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1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69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7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3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1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2018-05-19T19:38:27Z</dcterms:created>
  <dcterms:modified xsi:type="dcterms:W3CDTF">2018-05-19T19:38:27Z</dcterms:modified>
</cp:coreProperties>
</file>