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 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(34, 60, 61)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(41, 54)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(52, 53)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(33, 51)</w:t>
      </w:r>
      <w:r>
        <w:t xml:space="preserve"> </w:t>
      </w:r>
      <w:r>
        <w:t xml:space="preserve">or adaptive</w:t>
      </w:r>
      <w:r>
        <w:t xml:space="preserve"> </w:t>
      </w:r>
      <w:r>
        <w:t xml:space="preserve">(@ 7)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(3)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(6)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(32)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(41)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(42, 43)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(59)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(50)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(46–50)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(46)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(44, 45, 58)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(49, 50)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(25, 51)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(5)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(4)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(6)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(63)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(39)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(30)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(62)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(59)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(2)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(1)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(24)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(7, 29)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(23)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(28)</w:t>
      </w:r>
      <w:r>
        <w:t xml:space="preserve">, particularly convolutional neural networks (CNN).[^101]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(27)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(57)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(55)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(38)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(n=10), older</w:t>
      </w:r>
      <w:r>
        <w:t xml:space="preserve"> </w:t>
      </w:r>
      <w:r>
        <w:t xml:space="preserve">healthy (n=7), cystic fibrosis (CF) (n=14), interstitial lung disease (ILD)</w:t>
      </w:r>
      <w:r>
        <w:t xml:space="preserve"> </w:t>
      </w:r>
      <w:r>
        <w:t xml:space="preserve">(n=10), and chronic obstructive pulmonary disease (n=10). MR iImaging with</w:t>
      </w:r>
      <w:r>
        <w:t xml:space="preserve"> </w:t>
      </w:r>
      <w:r>
        <w:t xml:space="preserve">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</w:t>
      </w:r>
      <w:r>
        <w:t xml:space="preserve"> </w:t>
      </w:r>
      <w:r>
        <w:t xml:space="preserve">(IND 57866) for hyperpolarized 3He. MRI data were acquired on a 1.5 T whole-body</w:t>
      </w:r>
      <w:r>
        <w:t xml:space="preserve"> </w:t>
      </w:r>
      <w:r>
        <w:t xml:space="preserve">MRI scanner (Siemens Avanto, Siemens Medical Solutions, Malvern, PA) with</w:t>
      </w:r>
      <w:r>
        <w:t xml:space="preserve"> </w:t>
      </w:r>
      <w:r>
        <w:t xml:space="preserve">broadband capabilities and a flexible 129Xe 3He chest radiofrequency coil (RF;</w:t>
      </w:r>
      <w:r>
        <w:t xml:space="preserve"> </w:t>
      </w:r>
      <w:r>
        <w:t xml:space="preserve">IGC Medical Advances, Milwaukee, WI; or Clinical MR Solutions, Brookfield, WI).</w:t>
      </w:r>
      <w:r>
        <w:t xml:space="preserve"> </w:t>
      </w:r>
      <w:r>
        <w:t xml:space="preserve">During a &lt;10–20-second 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</w:t>
      </w:r>
      <w:r>
        <w:t xml:space="preserve"> </w:t>
      </w:r>
      <w:r>
        <w:t xml:space="preserve">1/3 Forced vital capacity (FVC) of the respective subject, a set of 15-17</w:t>
      </w:r>
      <w:r>
        <w:t xml:space="preserve"> </w:t>
      </w:r>
      <w:r>
        <w:t xml:space="preserve">contiguous coronal lung slices were collected in order to cover the</w:t>
      </w:r>
      <w:r>
        <w:t xml:space="preserve"> </w:t>
      </w:r>
      <w:r>
        <w:t xml:space="preserve">entire lungs. Parameters of the Gradient echo (GRE) sequence</w:t>
      </w:r>
      <w:r>
        <w:t xml:space="preserve"> </w:t>
      </w:r>
      <w:r>
        <w:t xml:space="preserve">with a Spiral k-space sampling with 12 interleaves for 129Xe MRI were as</w:t>
      </w:r>
      <w:r>
        <w:t xml:space="preserve"> </w:t>
      </w:r>
      <w:r>
        <w:t xml:space="preserve">follows: repetition time msec / echo 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</w:t>
      </w:r>
      <w:r>
        <w:t xml:space="preserve"> </w:t>
      </w:r>
      <w:r>
        <w:t xml:space="preserve">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 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</w:t>
      </w:r>
      <w:r>
        <w:t xml:space="preserve"> </w:t>
      </w:r>
      <w:r>
        <w:t xml:space="preserve">section slice thickness, 15 mm; and intersection gap, none. The data were</w:t>
      </w:r>
      <w:r>
        <w:t xml:space="preserve"> </w:t>
      </w:r>
      <w:r>
        <w:t xml:space="preserve">deidentified prior to analysis.</w:t>
      </w:r>
    </w:p>
    <w:bookmarkEnd w:id="26"/>
    <w:bookmarkStart w:id="27" w:name="he-2019-harvard-dataverse-cohort"/>
    <w:p>
      <w:pPr>
        <w:pStyle w:val="Heading3"/>
      </w:pPr>
      <w:r>
        <w:t xml:space="preserve">He 2019 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(2)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(53)</w:t>
      </w:r>
      <w:r>
        <w:t xml:space="preserve">, hierarchical k-means</w:t>
      </w:r>
      <w:r>
        <w:t xml:space="preserve"> </w:t>
      </w:r>
      <w:r>
        <w:t xml:space="preserve">(51)</w:t>
      </w:r>
      <w:r>
        <w:t xml:space="preserve">, fuzzy spatial c-means</w:t>
      </w:r>
      <w:r>
        <w:t xml:space="preserve"> </w:t>
      </w:r>
      <w:r>
        <w:t xml:space="preserve">(6)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(55)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(64)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 citation</w:t>
      </w:r>
      <w:r>
        <w:t xml:space="preserve"> </w:t>
      </w:r>
      <w:r>
        <w:t xml:space="preserve">providing the online location of the original He 2019 Dataverse data, a</w:t>
      </w:r>
      <w:r>
        <w:t xml:space="preserve"> </w:t>
      </w:r>
      <w:r>
        <w:t xml:space="preserve">header-modified version of these data is available in the GitHub repository</w:t>
      </w:r>
      <w:r>
        <w:t xml:space="preserve"> </w:t>
      </w:r>
      <w:r>
        <w:t xml:space="preserve">associated with this manuscript. Additional evaluation plots are also</w:t>
      </w:r>
      <w:r>
        <w:t xml:space="preserve"> </w:t>
      </w:r>
      <w:r>
        <w:t xml:space="preserve">available at this location.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(7, 17, 41, 53, 63)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(55)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(35)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(56)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(37)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(37)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(36)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(26)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(20)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(19, 38)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(16–18)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(20)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(21)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(13–15)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(11, 12)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(10)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(53)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(53)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2019 Harvard Dataverse images used were preprocessed using N4</w:t>
      </w:r>
      <w:r>
        <w:t xml:space="preserve"> </w:t>
      </w:r>
      <w:r>
        <w:t xml:space="preserve">(2)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symmetric multivariate linear reconstruction</w:t>
      </w:r>
      <w:r>
        <w:t xml:space="preserve"> </w:t>
      </w:r>
      <w:r>
        <w:t xml:space="preserve">(8)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(55)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(9)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2" w:name="references"/>
    <w:p>
      <w:pPr>
        <w:pStyle w:val="Heading1"/>
      </w:pPr>
      <w:r>
        <w:t xml:space="preserve">References</w:t>
      </w:r>
    </w:p>
    <w:bookmarkStart w:id="111" w:name="refs"/>
    <w:bookmarkStart w:id="47" w:name="ref-He_dataverse:2018"/>
    <w:p>
      <w:pPr>
        <w:pStyle w:val="Bibliography"/>
      </w:pPr>
      <w:r>
        <w:t xml:space="preserve">1.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7"/>
    <w:bookmarkStart w:id="48" w:name="ref-He:2019aa"/>
    <w:p>
      <w:pPr>
        <w:pStyle w:val="Bibliography"/>
      </w:pPr>
      <w:r>
        <w:t xml:space="preserve">2.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8"/>
    <w:bookmarkStart w:id="49" w:name="ref-Ray:2003aa"/>
    <w:p>
      <w:pPr>
        <w:pStyle w:val="Bibliography"/>
      </w:pPr>
      <w:r>
        <w:t xml:space="preserve">3.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49"/>
    <w:bookmarkStart w:id="50" w:name="ref-Chuang:2006aa"/>
    <w:p>
      <w:pPr>
        <w:pStyle w:val="Bibliography"/>
      </w:pPr>
      <w:r>
        <w:t xml:space="preserve">4.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0"/>
    <w:bookmarkStart w:id="51" w:name="ref-Bezdek:1981aa"/>
    <w:p>
      <w:pPr>
        <w:pStyle w:val="Bibliography"/>
      </w:pPr>
      <w:r>
        <w:t xml:space="preserve">5.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1"/>
    <w:bookmarkStart w:id="52" w:name="ref-Hughes:2018aa"/>
    <w:p>
      <w:pPr>
        <w:pStyle w:val="Bibliography"/>
      </w:pPr>
      <w:r>
        <w:t xml:space="preserve">6.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2"/>
    <w:bookmarkStart w:id="53" w:name="ref-Zha:2016aa"/>
    <w:p>
      <w:pPr>
        <w:pStyle w:val="Bibliography"/>
      </w:pPr>
      <w:r>
        <w:t xml:space="preserve">7.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3"/>
    <w:bookmarkStart w:id="54" w:name="ref-Stone:2020aa"/>
    <w:p>
      <w:pPr>
        <w:pStyle w:val="Bibliography"/>
      </w:pPr>
      <w:r>
        <w:t xml:space="preserve">8.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4"/>
    <w:bookmarkStart w:id="55" w:name="ref-Li:2020aa"/>
    <w:p>
      <w:pPr>
        <w:pStyle w:val="Bibliography"/>
      </w:pPr>
      <w:r>
        <w:t xml:space="preserve">9.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5"/>
    <w:bookmarkStart w:id="56" w:name="ref-srpb"/>
    <w:p>
      <w:pPr>
        <w:pStyle w:val="Bibliography"/>
      </w:pPr>
      <w:r>
        <w:t xml:space="preserve">10.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6"/>
    <w:bookmarkStart w:id="57" w:name="ref-Boer:2010aa"/>
    <w:p>
      <w:pPr>
        <w:pStyle w:val="Bibliography"/>
      </w:pPr>
      <w:r>
        <w:t xml:space="preserve">11.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7"/>
    <w:bookmarkStart w:id="58" w:name="ref-Cuadra:2005aa"/>
    <w:p>
      <w:pPr>
        <w:pStyle w:val="Bibliography"/>
      </w:pPr>
      <w:r>
        <w:t xml:space="preserve">12.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8"/>
    <w:bookmarkStart w:id="59" w:name="ref-Despotovic:2015aa"/>
    <w:p>
      <w:pPr>
        <w:pStyle w:val="Bibliography"/>
      </w:pPr>
      <w:r>
        <w:t xml:space="preserve">13.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59"/>
    <w:bookmarkStart w:id="60" w:name="ref-Pham:2000aa"/>
    <w:p>
      <w:pPr>
        <w:pStyle w:val="Bibliography"/>
      </w:pPr>
      <w:r>
        <w:t xml:space="preserve">14.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0"/>
    <w:bookmarkStart w:id="61" w:name="ref-Bezdek:1993aa"/>
    <w:p>
      <w:pPr>
        <w:pStyle w:val="Bibliography"/>
      </w:pPr>
      <w:r>
        <w:t xml:space="preserve">15.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1"/>
    <w:bookmarkStart w:id="62" w:name="ref-Mammarappallil:2019aa"/>
    <w:p>
      <w:pPr>
        <w:pStyle w:val="Bibliography"/>
      </w:pPr>
      <w:r>
        <w:t xml:space="preserve">16.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2"/>
    <w:bookmarkStart w:id="63" w:name="ref-Santyr:2019aa"/>
    <w:p>
      <w:pPr>
        <w:pStyle w:val="Bibliography"/>
      </w:pPr>
      <w:r>
        <w:t xml:space="preserve">17.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3"/>
    <w:bookmarkStart w:id="64" w:name="ref-Myc:2020aa"/>
    <w:p>
      <w:pPr>
        <w:pStyle w:val="Bibliography"/>
      </w:pPr>
      <w:r>
        <w:t xml:space="preserve">18.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4"/>
    <w:bookmarkStart w:id="65" w:name="ref-Tustison:2014ab"/>
    <w:p>
      <w:pPr>
        <w:pStyle w:val="Bibliography"/>
      </w:pPr>
      <w:r>
        <w:t xml:space="preserve">19.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5"/>
    <w:bookmarkStart w:id="66" w:name="ref-Breiman:2001aa"/>
    <w:p>
      <w:pPr>
        <w:pStyle w:val="Bibliography"/>
      </w:pPr>
      <w:r>
        <w:t xml:space="preserve">20.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6"/>
    <w:bookmarkStart w:id="67" w:name="ref-Badnjevic:2018aa"/>
    <w:p>
      <w:pPr>
        <w:pStyle w:val="Bibliography"/>
      </w:pPr>
      <w:r>
        <w:t xml:space="preserve">21.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7"/>
    <w:bookmarkStart w:id="68" w:name="ref-Wolpert:1997aa"/>
    <w:p>
      <w:pPr>
        <w:pStyle w:val="Bibliography"/>
      </w:pPr>
      <w:r>
        <w:t xml:space="preserve">22.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8"/>
    <w:bookmarkStart w:id="69" w:name="ref-Couch:2019aa"/>
    <w:p>
      <w:pPr>
        <w:pStyle w:val="Bibliography"/>
      </w:pPr>
      <w:r>
        <w:t xml:space="preserve">23.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69"/>
    <w:bookmarkStart w:id="70" w:name="ref-Wang:2004aa"/>
    <w:p>
      <w:pPr>
        <w:pStyle w:val="Bibliography"/>
      </w:pPr>
      <w:r>
        <w:t xml:space="preserve">24.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0"/>
    <w:bookmarkStart w:id="71" w:name="ref-Cooley:2010aa"/>
    <w:p>
      <w:pPr>
        <w:pStyle w:val="Bibliography"/>
      </w:pPr>
      <w:r>
        <w:t xml:space="preserve">25.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1"/>
    <w:bookmarkStart w:id="72" w:name="ref-Warfield:2004aa"/>
    <w:p>
      <w:pPr>
        <w:pStyle w:val="Bibliography"/>
      </w:pPr>
      <w:r>
        <w:t xml:space="preserve">26.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2"/>
    <w:bookmarkStart w:id="73" w:name="ref-Shen:2017aa"/>
    <w:p>
      <w:pPr>
        <w:pStyle w:val="Bibliography"/>
      </w:pPr>
      <w:r>
        <w:t xml:space="preserve">27.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3"/>
    <w:bookmarkStart w:id="74" w:name="ref-LeCun:2015aa"/>
    <w:p>
      <w:pPr>
        <w:pStyle w:val="Bibliography"/>
      </w:pPr>
      <w:r>
        <w:t xml:space="preserve">28.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4"/>
    <w:bookmarkStart w:id="75" w:name="ref-Svenningsen:2020aa"/>
    <w:p>
      <w:pPr>
        <w:pStyle w:val="Bibliography"/>
      </w:pPr>
      <w:r>
        <w:t xml:space="preserve">29.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5"/>
    <w:bookmarkStart w:id="76" w:name="ref-Dempster:1977aa"/>
    <w:p>
      <w:pPr>
        <w:pStyle w:val="Bibliography"/>
      </w:pPr>
      <w:r>
        <w:t xml:space="preserve">30.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6"/>
    <w:bookmarkStart w:id="77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7"/>
    <w:bookmarkStart w:id="78" w:name="ref-Thomen:2015aa"/>
    <w:p>
      <w:pPr>
        <w:pStyle w:val="Bibliography"/>
      </w:pPr>
      <w:r>
        <w:t xml:space="preserve">32.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8"/>
    <w:bookmarkStart w:id="79" w:name="ref-Kirby:2012ab"/>
    <w:p>
      <w:pPr>
        <w:pStyle w:val="Bibliography"/>
      </w:pPr>
      <w:r>
        <w:t xml:space="preserve">33.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79"/>
    <w:bookmarkStart w:id="80" w:name="ref-Lange:1999aa"/>
    <w:p>
      <w:pPr>
        <w:pStyle w:val="Bibliography"/>
      </w:pPr>
      <w:r>
        <w:t xml:space="preserve">34.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0"/>
    <w:bookmarkStart w:id="81" w:name="ref-Schlemper:2019aa"/>
    <w:p>
      <w:pPr>
        <w:pStyle w:val="Bibliography"/>
      </w:pPr>
      <w:r>
        <w:t xml:space="preserve">35.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1"/>
    <w:bookmarkStart w:id="82" w:name="ref-Crum:2006aa"/>
    <w:p>
      <w:pPr>
        <w:pStyle w:val="Bibliography"/>
      </w:pPr>
      <w:r>
        <w:t xml:space="preserve">36.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2"/>
    <w:bookmarkStart w:id="83" w:name="ref-Isensee:2020aa"/>
    <w:p>
      <w:pPr>
        <w:pStyle w:val="Bibliography"/>
      </w:pPr>
      <w:r>
        <w:t xml:space="preserve">37.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3"/>
    <w:bookmarkStart w:id="84" w:name="ref-Tustison:2020aa"/>
    <w:p>
      <w:pPr>
        <w:pStyle w:val="Bibliography"/>
      </w:pPr>
      <w:r>
        <w:t xml:space="preserve">38.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4"/>
    <w:bookmarkStart w:id="85" w:name="ref-Vannier:1985aa"/>
    <w:p>
      <w:pPr>
        <w:pStyle w:val="Bibliography"/>
      </w:pPr>
      <w:r>
        <w:t xml:space="preserve">39.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5"/>
    <w:bookmarkStart w:id="86" w:name="ref-Hartigan:1979aa"/>
    <w:p>
      <w:pPr>
        <w:pStyle w:val="Bibliography"/>
      </w:pPr>
      <w:r>
        <w:t xml:space="preserve">40.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6"/>
    <w:bookmarkStart w:id="87" w:name="ref-Shammi:2021aa"/>
    <w:p>
      <w:pPr>
        <w:pStyle w:val="Bibliography"/>
      </w:pPr>
      <w:r>
        <w:t xml:space="preserve">41.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7"/>
    <w:bookmarkStart w:id="88" w:name="ref-Andersen:1996aa"/>
    <w:p>
      <w:pPr>
        <w:pStyle w:val="Bibliography"/>
      </w:pPr>
      <w:r>
        <w:t xml:space="preserve">42.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8"/>
    <w:bookmarkStart w:id="89" w:name="ref-Gudbjartsson:1995aa"/>
    <w:p>
      <w:pPr>
        <w:pStyle w:val="Bibliography"/>
      </w:pPr>
      <w:r>
        <w:t xml:space="preserve">43.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89"/>
    <w:bookmarkStart w:id="90" w:name="ref-Ashburner:2005aa"/>
    <w:p>
      <w:pPr>
        <w:pStyle w:val="Bibliography"/>
      </w:pPr>
      <w:r>
        <w:t xml:space="preserve">44.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0"/>
    <w:bookmarkStart w:id="91" w:name="ref-Avants:2011aa"/>
    <w:p>
      <w:pPr>
        <w:pStyle w:val="Bibliography"/>
      </w:pPr>
      <w:r>
        <w:t xml:space="preserve">45.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1"/>
    <w:bookmarkStart w:id="92" w:name="ref-Collewet:2004aa"/>
    <w:p>
      <w:pPr>
        <w:pStyle w:val="Bibliography"/>
      </w:pPr>
      <w:r>
        <w:t xml:space="preserve">46.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2"/>
    <w:bookmarkStart w:id="93" w:name="ref-Wendt:1994aa"/>
    <w:p>
      <w:pPr>
        <w:pStyle w:val="Bibliography"/>
      </w:pPr>
      <w:r>
        <w:t xml:space="preserve">47.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3"/>
    <w:bookmarkStart w:id="94" w:name="ref-De-Nunzio:2015aa"/>
    <w:p>
      <w:pPr>
        <w:pStyle w:val="Bibliography"/>
      </w:pPr>
      <w:r>
        <w:t xml:space="preserve">48.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4"/>
    <w:bookmarkStart w:id="95" w:name="ref-Nyul:2000aa"/>
    <w:p>
      <w:pPr>
        <w:pStyle w:val="Bibliography"/>
      </w:pPr>
      <w:r>
        <w:t xml:space="preserve">49.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5"/>
    <w:bookmarkStart w:id="96" w:name="ref-Nyul:1999aa"/>
    <w:p>
      <w:pPr>
        <w:pStyle w:val="Bibliography"/>
      </w:pPr>
      <w:r>
        <w:t xml:space="preserve">50.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6"/>
    <w:bookmarkStart w:id="97" w:name="ref-Kirby:2012aa"/>
    <w:p>
      <w:pPr>
        <w:pStyle w:val="Bibliography"/>
      </w:pPr>
      <w:r>
        <w:t xml:space="preserve">51.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7"/>
    <w:bookmarkStart w:id="98" w:name="ref-He:2020aa"/>
    <w:p>
      <w:pPr>
        <w:pStyle w:val="Bibliography"/>
      </w:pPr>
      <w:r>
        <w:t xml:space="preserve">52.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8"/>
    <w:bookmarkStart w:id="99" w:name="ref-He:2016aa"/>
    <w:p>
      <w:pPr>
        <w:pStyle w:val="Bibliography"/>
      </w:pPr>
      <w:r>
        <w:t xml:space="preserve">53.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99"/>
    <w:bookmarkStart w:id="100" w:name="ref-Woodhouse:2005aa"/>
    <w:p>
      <w:pPr>
        <w:pStyle w:val="Bibliography"/>
      </w:pPr>
      <w:r>
        <w:t xml:space="preserve">54.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0"/>
    <w:bookmarkStart w:id="101" w:name="ref-Tustison:2019ac"/>
    <w:p>
      <w:pPr>
        <w:pStyle w:val="Bibliography"/>
      </w:pPr>
      <w:r>
        <w:t xml:space="preserve">55.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1"/>
    <w:bookmarkStart w:id="102" w:name="ref-Falk:2019aa"/>
    <w:p>
      <w:pPr>
        <w:pStyle w:val="Bibliography"/>
      </w:pPr>
      <w:r>
        <w:t xml:space="preserve">56.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2"/>
    <w:bookmarkStart w:id="103" w:name="ref-Zhang:2018aa"/>
    <w:p>
      <w:pPr>
        <w:pStyle w:val="Bibliography"/>
      </w:pPr>
      <w:r>
        <w:t xml:space="preserve">57.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3"/>
    <w:bookmarkStart w:id="104" w:name="ref-Zhang:2001aa"/>
    <w:p>
      <w:pPr>
        <w:pStyle w:val="Bibliography"/>
      </w:pPr>
      <w:r>
        <w:t xml:space="preserve">58.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4"/>
    <w:bookmarkStart w:id="105" w:name="ref-Sled:1998aa"/>
    <w:p>
      <w:pPr>
        <w:pStyle w:val="Bibliography"/>
      </w:pPr>
      <w:r>
        <w:t xml:space="preserve">59.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5"/>
    <w:bookmarkStart w:id="106" w:name="ref-Samee:2003aa"/>
    <w:p>
      <w:pPr>
        <w:pStyle w:val="Bibliography"/>
      </w:pPr>
      <w:r>
        <w:t xml:space="preserve">60.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6"/>
    <w:bookmarkStart w:id="107" w:name="ref-Altes:2001aa"/>
    <w:p>
      <w:pPr>
        <w:pStyle w:val="Bibliography"/>
      </w:pPr>
      <w:r>
        <w:t xml:space="preserve">61.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7"/>
    <w:bookmarkStart w:id="108" w:name="ref-Tustison:2010ac"/>
    <w:p>
      <w:pPr>
        <w:pStyle w:val="Bibliography"/>
      </w:pPr>
      <w:r>
        <w:t xml:space="preserve">62.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8"/>
    <w:bookmarkStart w:id="109" w:name="ref-Tustison:2011aa"/>
    <w:p>
      <w:pPr>
        <w:pStyle w:val="Bibliography"/>
      </w:pPr>
      <w:r>
        <w:t xml:space="preserve">63.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09"/>
    <w:bookmarkStart w:id="110" w:name="ref-Tustison:2013aa"/>
    <w:p>
      <w:pPr>
        <w:pStyle w:val="Bibliography"/>
      </w:pPr>
      <w:r>
        <w:t xml:space="preserve">64.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 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</w:t>
      </w:r>
      <w:r>
        <w:t xml:space="preserve"> </w:t>
      </w:r>
      <w:r>
        <w:t xml:space="preserve">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2021-03-08T15:28:29Z</dcterms:created>
  <dcterms:modified xsi:type="dcterms:W3CDTF">2021-03-08T15:28:29Z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