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(11, 12)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(13)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(15)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(16)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(17)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(18, 19)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(20)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(21)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(21–25)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(24)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(26–28)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(21, 23)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(11, 29)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(30)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(31)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(32)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(15)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(16)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(33)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(34)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(35)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(36)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(20)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51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(37)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(13, 38)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(39)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(40)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(42)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(43)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(44)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fuzzy spatial c-means</w:t>
      </w:r>
      <w:r>
        <w:t xml:space="preserve"> </w:t>
      </w:r>
      <w:r>
        <w:t xml:space="preserve">(15)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(16)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(43)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(45)</w:t>
      </w:r>
      <w:r>
        <w:t xml:space="preserve">. In designing the evaluation 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(8, 9, 13, 16, 46)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5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5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(43)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(47)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(48)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(49)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6" w:name="network-training"/>
      <w:r>
        <w:t xml:space="preserve">Network training</w:t>
      </w:r>
      <w:bookmarkEnd w:id="36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(49)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(50)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(16)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7" w:name="pipeline-processing"/>
      <w:r>
        <w:t xml:space="preserve">Pipeline processing</w:t>
      </w:r>
      <w:bookmarkEnd w:id="37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(51)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(52)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9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40" w:name="diagnostic-prediction"/>
      <w:r>
        <w:t xml:space="preserve">Diagnostic prediction</w:t>
      </w:r>
      <w:bookmarkEnd w:id="40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(44, 53)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(46, 54, 55)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(52)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(56)</w:t>
      </w:r>
      <w:r>
        <w:t xml:space="preserve">.</w:t>
      </w:r>
    </w:p>
    <w:p>
      <w:pPr>
        <w:pStyle w:val="Heading2"/>
      </w:pPr>
      <w:bookmarkStart w:id="41" w:name="t1-weighted-brain-segmentation-analogy"/>
      <w:r>
        <w:t xml:space="preserve">T1-weighted brain segmentation analogy</w:t>
      </w:r>
      <w:bookmarkEnd w:id="41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(57–59)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(60, 61)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(62)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2" w:name="effect-of-reference-image-set-selection"/>
      <w:r>
        <w:t xml:space="preserve">Effect of reference image set selection</w:t>
      </w:r>
      <w:bookmarkEnd w:id="42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3" w:name="effects-of-mr-based-simulated-image-distortions"/>
      <w:r>
        <w:t xml:space="preserve">Effects of MR-based simulated image distortions</w:t>
      </w:r>
      <w:bookmarkEnd w:id="43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for each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4" w:name="discussion"/>
      <w:r>
        <w:t xml:space="preserve">Discussion</w:t>
      </w:r>
      <w:bookmarkEnd w:id="44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Many</w:t>
      </w:r>
      <w:r>
        <w:t xml:space="preserve"> </w:t>
      </w:r>
      <w:r>
        <w:t xml:space="preserve">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(64)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(43)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(65)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111" w:name="refs"/>
    <w:bookmarkStart w:id="46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6"/>
    <w:bookmarkStart w:id="47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7"/>
    <w:bookmarkStart w:id="48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8"/>
    <w:bookmarkStart w:id="49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9"/>
    <w:bookmarkStart w:id="50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50"/>
    <w:bookmarkStart w:id="51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1"/>
    <w:bookmarkStart w:id="52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2"/>
    <w:bookmarkStart w:id="53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3"/>
    <w:bookmarkStart w:id="54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4"/>
    <w:bookmarkStart w:id="55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5"/>
    <w:bookmarkStart w:id="56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6"/>
    <w:bookmarkStart w:id="57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7"/>
    <w:bookmarkStart w:id="58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8"/>
    <w:bookmarkStart w:id="59" w:name="ref-Ray:2003aa"/>
    <w:p>
      <w:pPr>
        <w:pStyle w:val="Bibliography"/>
      </w:pPr>
      <w:r>
        <w:t xml:space="preserve">14.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9"/>
    <w:bookmarkStart w:id="60" w:name="ref-Hughes:2018aa"/>
    <w:p>
      <w:pPr>
        <w:pStyle w:val="Bibliography"/>
      </w:pPr>
      <w:r>
        <w:t xml:space="preserve">15.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60"/>
    <w:bookmarkStart w:id="61" w:name="ref-Tustison:2011aa"/>
    <w:p>
      <w:pPr>
        <w:pStyle w:val="Bibliography"/>
      </w:pPr>
      <w:r>
        <w:t xml:space="preserve">16.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1"/>
    <w:bookmarkStart w:id="62" w:name="ref-Thomen:2015aa"/>
    <w:p>
      <w:pPr>
        <w:pStyle w:val="Bibliography"/>
      </w:pPr>
      <w:r>
        <w:t xml:space="preserve">17.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2"/>
    <w:bookmarkStart w:id="63" w:name="ref-Gudbjartsson:1995aa"/>
    <w:p>
      <w:pPr>
        <w:pStyle w:val="Bibliography"/>
      </w:pPr>
      <w:r>
        <w:t xml:space="preserve">18.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3"/>
    <w:bookmarkStart w:id="64" w:name="ref-Andersen:1996aa"/>
    <w:p>
      <w:pPr>
        <w:pStyle w:val="Bibliography"/>
      </w:pPr>
      <w:r>
        <w:t xml:space="preserve">19.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4"/>
    <w:bookmarkStart w:id="65" w:name="ref-Sled:1998aa"/>
    <w:p>
      <w:pPr>
        <w:pStyle w:val="Bibliography"/>
      </w:pPr>
      <w:r>
        <w:t xml:space="preserve">20.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5"/>
    <w:bookmarkStart w:id="66" w:name="ref-Nyul:1999aa"/>
    <w:p>
      <w:pPr>
        <w:pStyle w:val="Bibliography"/>
      </w:pPr>
      <w:r>
        <w:t xml:space="preserve">21.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6"/>
    <w:bookmarkStart w:id="67" w:name="ref-Wendt:1994aa"/>
    <w:p>
      <w:pPr>
        <w:pStyle w:val="Bibliography"/>
      </w:pPr>
      <w:r>
        <w:t xml:space="preserve">22.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7"/>
    <w:bookmarkStart w:id="68" w:name="ref-Nyul:2000aa"/>
    <w:p>
      <w:pPr>
        <w:pStyle w:val="Bibliography"/>
      </w:pPr>
      <w:r>
        <w:t xml:space="preserve">23.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8"/>
    <w:bookmarkStart w:id="69" w:name="ref-Collewet:2004aa"/>
    <w:p>
      <w:pPr>
        <w:pStyle w:val="Bibliography"/>
      </w:pPr>
      <w:r>
        <w:t xml:space="preserve">24.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9"/>
    <w:bookmarkStart w:id="70" w:name="ref-De-Nunzio:2015aa"/>
    <w:p>
      <w:pPr>
        <w:pStyle w:val="Bibliography"/>
      </w:pPr>
      <w:r>
        <w:t xml:space="preserve">25.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70"/>
    <w:bookmarkStart w:id="71" w:name="ref-Zhang:2001aa"/>
    <w:p>
      <w:pPr>
        <w:pStyle w:val="Bibliography"/>
      </w:pPr>
      <w:r>
        <w:t xml:space="preserve">26.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1"/>
    <w:bookmarkStart w:id="72" w:name="ref-Ashburner:2005aa"/>
    <w:p>
      <w:pPr>
        <w:pStyle w:val="Bibliography"/>
      </w:pPr>
      <w:r>
        <w:t xml:space="preserve">27.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2"/>
    <w:bookmarkStart w:id="73" w:name="ref-Avants:2011aa"/>
    <w:p>
      <w:pPr>
        <w:pStyle w:val="Bibliography"/>
      </w:pPr>
      <w:r>
        <w:t xml:space="preserve">28.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3"/>
    <w:bookmarkStart w:id="74" w:name="ref-Cooley:2010aa"/>
    <w:p>
      <w:pPr>
        <w:pStyle w:val="Bibliography"/>
      </w:pPr>
      <w:r>
        <w:t xml:space="preserve">29.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4"/>
    <w:bookmarkStart w:id="75" w:name="ref-Hartigan:1979aa"/>
    <w:p>
      <w:pPr>
        <w:pStyle w:val="Bibliography"/>
      </w:pPr>
      <w:r>
        <w:t xml:space="preserve">30.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5"/>
    <w:bookmarkStart w:id="76" w:name="ref-Bezdek:1981aa"/>
    <w:p>
      <w:pPr>
        <w:pStyle w:val="Bibliography"/>
      </w:pPr>
      <w:r>
        <w:t xml:space="preserve">31.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6"/>
    <w:bookmarkStart w:id="77" w:name="ref-Chuang:2006aa"/>
    <w:p>
      <w:pPr>
        <w:pStyle w:val="Bibliography"/>
      </w:pPr>
      <w:r>
        <w:t xml:space="preserve">32.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7"/>
    <w:bookmarkStart w:id="78" w:name="ref-Vannier:1985aa"/>
    <w:p>
      <w:pPr>
        <w:pStyle w:val="Bibliography"/>
      </w:pPr>
      <w:r>
        <w:t xml:space="preserve">33.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8"/>
    <w:bookmarkStart w:id="79" w:name="ref-Besag:1986aa"/>
    <w:p>
      <w:pPr>
        <w:pStyle w:val="Bibliography"/>
      </w:pPr>
      <w:r>
        <w:t xml:space="preserve">34.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9"/>
    <w:bookmarkStart w:id="80" w:name="ref-Dempster:1977aa"/>
    <w:p>
      <w:pPr>
        <w:pStyle w:val="Bibliography"/>
      </w:pPr>
      <w:r>
        <w:t xml:space="preserve">35.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80"/>
    <w:bookmarkStart w:id="81" w:name="ref-Tustison:2010ac"/>
    <w:p>
      <w:pPr>
        <w:pStyle w:val="Bibliography"/>
      </w:pPr>
      <w:r>
        <w:t xml:space="preserve">36.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1"/>
    <w:bookmarkStart w:id="82" w:name="ref-Wang:2004aa"/>
    <w:p>
      <w:pPr>
        <w:pStyle w:val="Bibliography"/>
      </w:pPr>
      <w:r>
        <w:t xml:space="preserve">37.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2"/>
    <w:bookmarkStart w:id="83" w:name="ref-Svenningsen:2020aa"/>
    <w:p>
      <w:pPr>
        <w:pStyle w:val="Bibliography"/>
      </w:pPr>
      <w:r>
        <w:t xml:space="preserve">38.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3"/>
    <w:bookmarkStart w:id="84" w:name="ref-Couch:2019aa"/>
    <w:p>
      <w:pPr>
        <w:pStyle w:val="Bibliography"/>
      </w:pPr>
      <w:r>
        <w:t xml:space="preserve">39.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4"/>
    <w:bookmarkStart w:id="85" w:name="ref-LeCun:2015aa"/>
    <w:p>
      <w:pPr>
        <w:pStyle w:val="Bibliography"/>
      </w:pPr>
      <w:r>
        <w:t xml:space="preserve">40.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5"/>
    <w:bookmarkStart w:id="86" w:name="ref-Shen:2017aa"/>
    <w:p>
      <w:pPr>
        <w:pStyle w:val="Bibliography"/>
      </w:pPr>
      <w:r>
        <w:t xml:space="preserve">41.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6"/>
    <w:bookmarkStart w:id="87" w:name="ref-Zhang:2018aa"/>
    <w:p>
      <w:pPr>
        <w:pStyle w:val="Bibliography"/>
      </w:pPr>
      <w:r>
        <w:t xml:space="preserve">42.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7"/>
    <w:bookmarkStart w:id="88" w:name="ref-Tustison:2019ac"/>
    <w:p>
      <w:pPr>
        <w:pStyle w:val="Bibliography"/>
      </w:pPr>
      <w:r>
        <w:t xml:space="preserve">43.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8"/>
    <w:bookmarkStart w:id="89" w:name="ref-Tustison:2020aa"/>
    <w:p>
      <w:pPr>
        <w:pStyle w:val="Bibliography"/>
      </w:pPr>
      <w:r>
        <w:t xml:space="preserve">44.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9"/>
    <w:bookmarkStart w:id="90" w:name="ref-Tustison:2013aa"/>
    <w:p>
      <w:pPr>
        <w:pStyle w:val="Bibliography"/>
      </w:pPr>
      <w:r>
        <w:t xml:space="preserve">45.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0"/>
    <w:bookmarkStart w:id="91" w:name="ref-Santyr:2019aa"/>
    <w:p>
      <w:pPr>
        <w:pStyle w:val="Bibliography"/>
      </w:pPr>
      <w:r>
        <w:t xml:space="preserve">46.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1"/>
    <w:bookmarkStart w:id="92" w:name="ref-Schlemper:2019aa"/>
    <w:p>
      <w:pPr>
        <w:pStyle w:val="Bibliography"/>
      </w:pPr>
      <w:r>
        <w:t xml:space="preserve">47.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2"/>
    <w:bookmarkStart w:id="93" w:name="ref-Falk:2019aa"/>
    <w:p>
      <w:pPr>
        <w:pStyle w:val="Bibliography"/>
      </w:pPr>
      <w:r>
        <w:t xml:space="preserve">48.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3"/>
    <w:bookmarkStart w:id="94" w:name="ref-Isensee:2020aa"/>
    <w:p>
      <w:pPr>
        <w:pStyle w:val="Bibliography"/>
      </w:pPr>
      <w:r>
        <w:t xml:space="preserve">49.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4"/>
    <w:bookmarkStart w:id="95" w:name="ref-Crum:2006aa"/>
    <w:p>
      <w:pPr>
        <w:pStyle w:val="Bibliography"/>
      </w:pPr>
      <w:r>
        <w:t xml:space="preserve">50.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5"/>
    <w:bookmarkStart w:id="96" w:name="ref-Warfield:2004aa"/>
    <w:p>
      <w:pPr>
        <w:pStyle w:val="Bibliography"/>
      </w:pPr>
      <w:r>
        <w:t xml:space="preserve">51.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6"/>
    <w:bookmarkStart w:id="97" w:name="ref-Breiman:2001aa"/>
    <w:p>
      <w:pPr>
        <w:pStyle w:val="Bibliography"/>
      </w:pPr>
      <w:r>
        <w:t xml:space="preserve">52.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7"/>
    <w:bookmarkStart w:id="98" w:name="ref-Tustison:2014ab"/>
    <w:p>
      <w:pPr>
        <w:pStyle w:val="Bibliography"/>
      </w:pPr>
      <w:r>
        <w:t xml:space="preserve">53.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8"/>
    <w:bookmarkStart w:id="99" w:name="ref-Myc:2020aa"/>
    <w:p>
      <w:pPr>
        <w:pStyle w:val="Bibliography"/>
      </w:pPr>
      <w:r>
        <w:t xml:space="preserve">54.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9"/>
    <w:bookmarkStart w:id="100" w:name="ref-Mammarappallil:2019aa"/>
    <w:p>
      <w:pPr>
        <w:pStyle w:val="Bibliography"/>
      </w:pPr>
      <w:r>
        <w:t xml:space="preserve">55.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0"/>
    <w:bookmarkStart w:id="101" w:name="ref-Badnjevic:2018aa"/>
    <w:p>
      <w:pPr>
        <w:pStyle w:val="Bibliography"/>
      </w:pPr>
      <w:r>
        <w:t xml:space="preserve">56.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1"/>
    <w:bookmarkStart w:id="102" w:name="ref-Bezdek:1993aa"/>
    <w:p>
      <w:pPr>
        <w:pStyle w:val="Bibliography"/>
      </w:pPr>
      <w:r>
        <w:t xml:space="preserve">57.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2"/>
    <w:bookmarkStart w:id="103" w:name="ref-Pham:2000aa"/>
    <w:p>
      <w:pPr>
        <w:pStyle w:val="Bibliography"/>
      </w:pPr>
      <w:r>
        <w:t xml:space="preserve">58.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3"/>
    <w:bookmarkStart w:id="104" w:name="ref-Despotovic:2015aa"/>
    <w:p>
      <w:pPr>
        <w:pStyle w:val="Bibliography"/>
      </w:pPr>
      <w:r>
        <w:t xml:space="preserve">59.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4"/>
    <w:bookmarkStart w:id="105" w:name="ref-Cuadra:2005aa"/>
    <w:p>
      <w:pPr>
        <w:pStyle w:val="Bibliography"/>
      </w:pPr>
      <w:r>
        <w:t xml:space="preserve">60.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5"/>
    <w:bookmarkStart w:id="106" w:name="ref-Boer:2010aa"/>
    <w:p>
      <w:pPr>
        <w:pStyle w:val="Bibliography"/>
      </w:pPr>
      <w:r>
        <w:t xml:space="preserve">61.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6"/>
    <w:bookmarkStart w:id="107" w:name="ref-srpb"/>
    <w:p>
      <w:pPr>
        <w:pStyle w:val="Bibliography"/>
      </w:pPr>
      <w:r>
        <w:t xml:space="preserve">62. https://bicr-resource.atr.jp/srpbs1600/..</w:t>
      </w:r>
    </w:p>
    <w:bookmarkEnd w:id="107"/>
    <w:bookmarkStart w:id="108" w:name="ref-Wolpert:1997aa"/>
    <w:p>
      <w:pPr>
        <w:pStyle w:val="Bibliography"/>
      </w:pPr>
      <w:r>
        <w:t xml:space="preserve">63.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8"/>
    <w:bookmarkStart w:id="109" w:name="ref-Stone:2020aa"/>
    <w:p>
      <w:pPr>
        <w:pStyle w:val="Bibliography"/>
      </w:pPr>
      <w:r>
        <w:t xml:space="preserve">64.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9"/>
    <w:bookmarkStart w:id="110" w:name="ref-Li:2020aa"/>
    <w:p>
      <w:pPr>
        <w:pStyle w:val="Bibliography"/>
      </w:pPr>
      <w:r>
        <w:t xml:space="preserve">65.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>
        <w:r>
          <w:rPr>
            <w:rStyle w:val="Hyperlink"/>
          </w:rPr>
          <w:t xml:space="preserve">https://github.com/ntustison/Histograms</w:t>
        </w:r>
      </w:hyperlink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2021-02-19T03:29:27Z</dcterms:created>
  <dcterms:modified xsi:type="dcterms:W3CDTF">2021-02-19T03:29:27Z</dcterms:modified>
</cp:coreProperties>
</file>