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 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(35, 61, 62)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(42, 55)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(53, 54)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(34, 52)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(8)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(7)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(64)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(55)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(33)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(42)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(43, 44)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(60)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(51)</w:t>
      </w:r>
      <w:r>
        <w:t xml:space="preserve"> </w:t>
      </w:r>
      <w:r>
        <w:t xml:space="preserve">in which images from healthy controls are normalized to</w:t>
      </w:r>
      <w:r>
        <w:t xml:space="preserve"> </w:t>
      </w:r>
      <w:r>
        <w:t xml:space="preserve">the range [0, 1] and then used to calculate the cluster intensity boundary values, based on an</w:t>
      </w:r>
      <w:r>
        <w:t xml:space="preserve"> </w:t>
      </w:r>
      <w:r>
        <w:t xml:space="preserve">aggregated estimate of the parameters of a single Gaussian fit. Subject images</w:t>
      </w:r>
      <w:r>
        <w:t xml:space="preserve"> </w:t>
      </w:r>
      <w:r>
        <w:t xml:space="preserve">to be segmented are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(47–51)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(47)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(45, 46, 59)</w:t>
      </w:r>
      <w:r>
        <w:t xml:space="preserve">). Here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(50, 51)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(26, 52)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(41)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(6)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(5)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3He and 129Xe images in</w:t>
      </w:r>
      <w:r>
        <w:t xml:space="preserve"> </w:t>
      </w:r>
      <w:r>
        <w:t xml:space="preserve">(7)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(64)</w:t>
      </w:r>
      <w:r>
        <w:t xml:space="preserve">. This algorithm is</w:t>
      </w:r>
      <w:r>
        <w:t xml:space="preserve"> </w:t>
      </w:r>
      <w:r>
        <w:t xml:space="preserve">based on a well-established iterative approach originally used for NASA</w:t>
      </w:r>
      <w:r>
        <w:t xml:space="preserve"> </w:t>
      </w:r>
      <w:r>
        <w:t xml:space="preserve">satellite image processing and subsequently appropriated for brain tissue</w:t>
      </w:r>
      <w:r>
        <w:t xml:space="preserve"> </w:t>
      </w:r>
      <w:r>
        <w:t xml:space="preserve">segmentation in</w:t>
      </w:r>
      <w:r>
        <w:t xml:space="preserve"> </w:t>
      </w:r>
      <w:r>
        <w:t xml:space="preserve">(40)</w:t>
      </w:r>
      <w:r>
        <w:t xml:space="preserve">. A Gaussian mixture model (GMM) is used to</w:t>
      </w:r>
      <w:r>
        <w:t xml:space="preserve"> </w:t>
      </w:r>
      <w:r>
        <w:t xml:space="preserve">model the intensity clusters of the histogram with class modulation in the form</w:t>
      </w:r>
      <w:r>
        <w:t xml:space="preserve"> </w:t>
      </w:r>
      <w:r>
        <w:t xml:space="preserve">of probabilistic voxelwise label considerations, i.e., Markov random field (MRF)</w:t>
      </w:r>
      <w:r>
        <w:t xml:space="preserve"> </w:t>
      </w:r>
      <w:r>
        <w:t xml:space="preserve">modeling, within image neighborhoods</w:t>
      </w:r>
      <w:r>
        <w:t xml:space="preserve"> </w:t>
      </w:r>
      <w:r>
        <w:t xml:space="preserve">(32)</w:t>
      </w:r>
      <w:r>
        <w:t xml:space="preserve"> </w:t>
      </w:r>
      <w:r>
        <w:t xml:space="preserve">optimized with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(31)</w:t>
      </w:r>
      <w:r>
        <w:t xml:space="preserve">. This has the</w:t>
      </w:r>
      <w:r>
        <w:t xml:space="preserve"> </w:t>
      </w:r>
      <w:r>
        <w:t xml:space="preserve">advantage, in contrast to histogram-only algorithms, that it softens the</w:t>
      </w:r>
      <w:r>
        <w:t xml:space="preserve"> </w:t>
      </w:r>
      <w:r>
        <w:t xml:space="preserve">intensity thresholds between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the inherent assumption that meaningful</w:t>
      </w:r>
      <w:r>
        <w:t xml:space="preserve"> </w:t>
      </w:r>
      <w:r>
        <w:t xml:space="preserve">structure is found, and can be adequately characterized, within the associated</w:t>
      </w:r>
      <w:r>
        <w:t xml:space="preserve"> </w:t>
      </w:r>
      <w:r>
        <w:t xml:space="preserve">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(60)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4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(2)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(25)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(8, 30)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(24)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(29)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(58)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(56)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(39)</w:t>
      </w:r>
      <w:r>
        <w:t xml:space="preserve">.</w:t>
      </w:r>
    </w:p>
    <w:bookmarkEnd w:id="24"/>
    <w:bookmarkEnd w:id="25"/>
    <w:bookmarkStart w:id="38" w:name="materials-and-methods"/>
    <w:p>
      <w:pPr>
        <w:pStyle w:val="Heading1"/>
      </w:pPr>
      <w:r>
        <w:t xml:space="preserve">Materials and 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6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(n=10), older</w:t>
      </w:r>
      <w:r>
        <w:t xml:space="preserve"> </w:t>
      </w:r>
      <w:r>
        <w:t xml:space="preserve">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(n=14), interstitial lung disease (ILD)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 with</w:t>
      </w:r>
      <w:r>
        <w:t xml:space="preserve"> </w:t>
      </w:r>
      <w:r>
        <w:t xml:space="preserve">hyperpolarized 129Xe gas was performed under an Institutional Review Board (IRB)</w:t>
      </w:r>
      <w:r>
        <w:t xml:space="preserve"> </w:t>
      </w:r>
      <w:r>
        <w:t xml:space="preserve">approved protocol with written informed consent obtained from each subject. In</w:t>
      </w:r>
      <w:r>
        <w:t xml:space="preserve"> </w:t>
      </w:r>
      <w:r>
        <w:t xml:space="preserve">addition, all imaging was performed under a Food and Drug Administration (FDA)</w:t>
      </w:r>
      <w:r>
        <w:t xml:space="preserve"> </w:t>
      </w:r>
      <w:r>
        <w:t xml:space="preserve">approved physician’s Investigational New Drug application. MRI data were</w:t>
      </w:r>
      <w:r>
        <w:t xml:space="preserve"> </w:t>
      </w:r>
      <w:r>
        <w:t xml:space="preserve">acquired on a 1.5 T whole-body MRI scanner</w:t>
      </w:r>
      <w:r>
        <w:t xml:space="preserve"> </w:t>
      </w:r>
      <w:r>
        <w:t xml:space="preserve">(Siemens Avanto, Siemens Medical Solutions, Malvern, PA) with broadband</w:t>
      </w:r>
      <w:r>
        <w:t xml:space="preserve"> </w:t>
      </w:r>
      <w:r>
        <w:t xml:space="preserve">capabilities and a flexible 129Xe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 1/3 forced</w:t>
      </w:r>
      <w:r>
        <w:t xml:space="preserve"> </w:t>
      </w:r>
      <w:r>
        <w:t xml:space="preserve">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</w:t>
      </w:r>
    </w:p>
    <w:bookmarkEnd w:id="26"/>
    <w:bookmarkStart w:id="27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(2)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7"/>
    <w:bookmarkEnd w:id="28"/>
    <w:bookmarkStart w:id="34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(54)</w:t>
      </w:r>
      <w:r>
        <w:t xml:space="preserve">, hierarchical k-means</w:t>
      </w:r>
      <w:r>
        <w:t xml:space="preserve"> </w:t>
      </w:r>
      <w:r>
        <w:t xml:space="preserve">(52)</w:t>
      </w:r>
      <w:r>
        <w:t xml:space="preserve">, fuzzy spatial c-means</w:t>
      </w:r>
      <w:r>
        <w:t xml:space="preserve"> </w:t>
      </w:r>
      <w:r>
        <w:t xml:space="preserve">(7)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(64)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(56)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(65)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</w:t>
      </w:r>
      <w:r>
        <w:t xml:space="preserve"> </w:t>
      </w:r>
      <w:r>
        <w:t xml:space="preserve">citation providing the online location of the original Harvard Dataverse data,</w:t>
      </w:r>
      <w:r>
        <w:t xml:space="preserve"> </w:t>
      </w:r>
      <w:r>
        <w:t xml:space="preserve">a header-modified version of these data is available in the GitHub repository</w:t>
      </w:r>
      <w:r>
        <w:t xml:space="preserve"> </w:t>
      </w:r>
      <w:r>
        <w:t xml:space="preserve">associated with this manuscript. Additional evaluation plots have also been</w:t>
      </w:r>
      <w:r>
        <w:t xml:space="preserve"> </w:t>
      </w:r>
      <w:r>
        <w:t xml:space="preserve">made available.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(8, 18, 42, 54, 64)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4"/>
    <w:bookmarkStart w:id="37" w:name="X4f9bef9bea24cb07f2aea3e3f2c5c199572f12a"/>
    <w:p>
      <w:pPr>
        <w:pStyle w:val="Heading2"/>
      </w:pPr>
      <w:r>
        <w:t xml:space="preserve">Introduction of the image-based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network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(56)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(38)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5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(37)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(64)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5"/>
    <w:bookmarkStart w:id="36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6"/>
    <w:bookmarkEnd w:id="37"/>
    <w:bookmarkEnd w:id="38"/>
    <w:bookmarkStart w:id="4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(27)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quantification of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incorporated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performed the following evaluations/experiments:</w:t>
      </w:r>
      <w:r>
        <w:rPr>
          <w:rStyle w:val="FootnoteReference"/>
        </w:rPr>
        <w:footnoteReference w:id="39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0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(20, 39)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(17–19)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(22)</w:t>
      </w:r>
      <w:r>
        <w:t xml:space="preserve">.</w:t>
      </w:r>
    </w:p>
    <w:bookmarkEnd w:id="40"/>
    <w:bookmarkStart w:id="41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(14–16)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(12, 13)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bookmarkEnd w:id="41"/>
    <w:bookmarkStart w:id="42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(54)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(54)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2"/>
    <w:bookmarkStart w:id="43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3"/>
    <w:bookmarkEnd w:id="44"/>
    <w:bookmarkStart w:id="4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is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(1, 9)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(56)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(10)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5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5"/>
    <w:bookmarkEnd w:id="46"/>
    <w:bookmarkStart w:id="113" w:name="references"/>
    <w:p>
      <w:pPr>
        <w:pStyle w:val="Heading1"/>
      </w:pPr>
      <w:r>
        <w:t xml:space="preserve">References</w:t>
      </w:r>
    </w:p>
    <w:bookmarkStart w:id="112" w:name="refs"/>
    <w:bookmarkStart w:id="47" w:name="ref-Avants:2021un"/>
    <w:p>
      <w:pPr>
        <w:pStyle w:val="Bibliography"/>
      </w:pPr>
      <w:r>
        <w:t xml:space="preserve">1. Avants BB, Tustison NJ, Stone JR: Similarity-driven multi-view embeddings from high-dimensional biomedical data.</w:t>
      </w:r>
      <w:r>
        <w:t xml:space="preserve"> </w:t>
      </w:r>
      <w:r>
        <w:rPr>
          <w:i/>
        </w:rPr>
        <w:t xml:space="preserve">Nature Computational Science</w:t>
      </w:r>
      <w:r>
        <w:t xml:space="preserve"> </w:t>
      </w:r>
      <w:r>
        <w:t xml:space="preserve">2021.</w:t>
      </w:r>
    </w:p>
    <w:bookmarkEnd w:id="47"/>
    <w:bookmarkStart w:id="48" w:name="ref-He_dataverse:2018"/>
    <w:p>
      <w:pPr>
        <w:pStyle w:val="Bibliography"/>
      </w:pPr>
      <w:r>
        <w:t xml:space="preserve">2.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8"/>
    <w:bookmarkStart w:id="49" w:name="ref-He:2019aa"/>
    <w:p>
      <w:pPr>
        <w:pStyle w:val="Bibliography"/>
      </w:pPr>
      <w:r>
        <w:t xml:space="preserve">3.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9"/>
    <w:bookmarkStart w:id="50" w:name="ref-Ray:2003aa"/>
    <w:p>
      <w:pPr>
        <w:pStyle w:val="Bibliography"/>
      </w:pPr>
      <w:r>
        <w:t xml:space="preserve">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0"/>
    <w:bookmarkStart w:id="51" w:name="ref-Chuang:2006aa"/>
    <w:p>
      <w:pPr>
        <w:pStyle w:val="Bibliography"/>
      </w:pPr>
      <w:r>
        <w:t xml:space="preserve">5.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1"/>
    <w:bookmarkStart w:id="52" w:name="ref-Bezdek:1981aa"/>
    <w:p>
      <w:pPr>
        <w:pStyle w:val="Bibliography"/>
      </w:pPr>
      <w:r>
        <w:t xml:space="preserve">6.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2"/>
    <w:bookmarkStart w:id="53" w:name="ref-Hughes:2018aa"/>
    <w:p>
      <w:pPr>
        <w:pStyle w:val="Bibliography"/>
      </w:pPr>
      <w:r>
        <w:t xml:space="preserve">7.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3"/>
    <w:bookmarkStart w:id="54" w:name="ref-Zha:2016aa"/>
    <w:p>
      <w:pPr>
        <w:pStyle w:val="Bibliography"/>
      </w:pPr>
      <w:r>
        <w:t xml:space="preserve">8.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4"/>
    <w:bookmarkStart w:id="55" w:name="ref-Stone:2020aa"/>
    <w:p>
      <w:pPr>
        <w:pStyle w:val="Bibliography"/>
      </w:pPr>
      <w:r>
        <w:t xml:space="preserve">9.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5"/>
    <w:bookmarkStart w:id="56" w:name="ref-Li:2020aa"/>
    <w:p>
      <w:pPr>
        <w:pStyle w:val="Bibliography"/>
      </w:pPr>
      <w:r>
        <w:t xml:space="preserve">10.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6"/>
    <w:bookmarkStart w:id="57" w:name="ref-srpb"/>
    <w:p>
      <w:pPr>
        <w:pStyle w:val="Bibliography"/>
      </w:pPr>
      <w:r>
        <w:t xml:space="preserve">11.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7"/>
    <w:bookmarkStart w:id="58" w:name="ref-Boer:2010aa"/>
    <w:p>
      <w:pPr>
        <w:pStyle w:val="Bibliography"/>
      </w:pPr>
      <w:r>
        <w:t xml:space="preserve">12.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8"/>
    <w:bookmarkStart w:id="59" w:name="ref-Cuadra:2005aa"/>
    <w:p>
      <w:pPr>
        <w:pStyle w:val="Bibliography"/>
      </w:pPr>
      <w:r>
        <w:t xml:space="preserve">13.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9"/>
    <w:bookmarkStart w:id="60" w:name="ref-Despotovic:2015aa"/>
    <w:p>
      <w:pPr>
        <w:pStyle w:val="Bibliography"/>
      </w:pPr>
      <w:r>
        <w:t xml:space="preserve">14.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60"/>
    <w:bookmarkStart w:id="61" w:name="ref-Pham:2000aa"/>
    <w:p>
      <w:pPr>
        <w:pStyle w:val="Bibliography"/>
      </w:pPr>
      <w:r>
        <w:t xml:space="preserve">15.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1"/>
    <w:bookmarkStart w:id="62" w:name="ref-Bezdek:1993aa"/>
    <w:p>
      <w:pPr>
        <w:pStyle w:val="Bibliography"/>
      </w:pPr>
      <w:r>
        <w:t xml:space="preserve">16.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2"/>
    <w:bookmarkStart w:id="63" w:name="ref-Mammarappallil:2019aa"/>
    <w:p>
      <w:pPr>
        <w:pStyle w:val="Bibliography"/>
      </w:pPr>
      <w:r>
        <w:t xml:space="preserve">17.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3"/>
    <w:bookmarkStart w:id="64" w:name="ref-Santyr:2019aa"/>
    <w:p>
      <w:pPr>
        <w:pStyle w:val="Bibliography"/>
      </w:pPr>
      <w:r>
        <w:t xml:space="preserve">18.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4"/>
    <w:bookmarkStart w:id="65" w:name="ref-Myc:2020aa"/>
    <w:p>
      <w:pPr>
        <w:pStyle w:val="Bibliography"/>
      </w:pPr>
      <w:r>
        <w:t xml:space="preserve">19.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5"/>
    <w:bookmarkStart w:id="66" w:name="ref-Tustison:2014ab"/>
    <w:p>
      <w:pPr>
        <w:pStyle w:val="Bibliography"/>
      </w:pPr>
      <w:r>
        <w:t xml:space="preserve">20.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6"/>
    <w:bookmarkStart w:id="67" w:name="ref-Breiman:2001aa"/>
    <w:p>
      <w:pPr>
        <w:pStyle w:val="Bibliography"/>
      </w:pPr>
      <w:r>
        <w:t xml:space="preserve">21.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7"/>
    <w:bookmarkStart w:id="68" w:name="ref-Badnjevic:2018aa"/>
    <w:p>
      <w:pPr>
        <w:pStyle w:val="Bibliography"/>
      </w:pPr>
      <w:r>
        <w:t xml:space="preserve">22.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8"/>
    <w:bookmarkStart w:id="69" w:name="ref-Wolpert:1997aa"/>
    <w:p>
      <w:pPr>
        <w:pStyle w:val="Bibliography"/>
      </w:pPr>
      <w:r>
        <w:t xml:space="preserve">23.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9"/>
    <w:bookmarkStart w:id="70" w:name="ref-Couch:2019aa"/>
    <w:p>
      <w:pPr>
        <w:pStyle w:val="Bibliography"/>
      </w:pPr>
      <w:r>
        <w:t xml:space="preserve">24.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0"/>
    <w:bookmarkStart w:id="71" w:name="ref-Wang:2004aa"/>
    <w:p>
      <w:pPr>
        <w:pStyle w:val="Bibliography"/>
      </w:pPr>
      <w:r>
        <w:t xml:space="preserve">25.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1"/>
    <w:bookmarkStart w:id="72" w:name="ref-Cooley:2010aa"/>
    <w:p>
      <w:pPr>
        <w:pStyle w:val="Bibliography"/>
      </w:pPr>
      <w:r>
        <w:t xml:space="preserve">26.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Warfield:2004aa"/>
    <w:p>
      <w:pPr>
        <w:pStyle w:val="Bibliography"/>
      </w:pPr>
      <w:r>
        <w:t xml:space="preserve">27.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3"/>
    <w:bookmarkStart w:id="74" w:name="ref-Shen:2017aa"/>
    <w:p>
      <w:pPr>
        <w:pStyle w:val="Bibliography"/>
      </w:pPr>
      <w:r>
        <w:t xml:space="preserve">28.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4"/>
    <w:bookmarkStart w:id="75" w:name="ref-LeCun:2015aa"/>
    <w:p>
      <w:pPr>
        <w:pStyle w:val="Bibliography"/>
      </w:pPr>
      <w:r>
        <w:t xml:space="preserve">29.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5"/>
    <w:bookmarkStart w:id="76" w:name="ref-Svenningsen:2020aa"/>
    <w:p>
      <w:pPr>
        <w:pStyle w:val="Bibliography"/>
      </w:pPr>
      <w:r>
        <w:t xml:space="preserve">30.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6"/>
    <w:bookmarkStart w:id="77" w:name="ref-Dempster:1977aa"/>
    <w:p>
      <w:pPr>
        <w:pStyle w:val="Bibliography"/>
      </w:pPr>
      <w:r>
        <w:t xml:space="preserve">31.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7"/>
    <w:bookmarkStart w:id="78" w:name="ref-Besag:1986aa"/>
    <w:p>
      <w:pPr>
        <w:pStyle w:val="Bibliography"/>
      </w:pPr>
      <w:r>
        <w:t xml:space="preserve">32.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Thomen:2015aa"/>
    <w:p>
      <w:pPr>
        <w:pStyle w:val="Bibliography"/>
      </w:pPr>
      <w:r>
        <w:t xml:space="preserve">33.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9"/>
    <w:bookmarkStart w:id="80" w:name="ref-Kirby:2012ab"/>
    <w:p>
      <w:pPr>
        <w:pStyle w:val="Bibliography"/>
      </w:pPr>
      <w:r>
        <w:t xml:space="preserve">34.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80"/>
    <w:bookmarkStart w:id="81" w:name="ref-Lange:1999aa"/>
    <w:p>
      <w:pPr>
        <w:pStyle w:val="Bibliography"/>
      </w:pPr>
      <w:r>
        <w:t xml:space="preserve">35.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1"/>
    <w:bookmarkStart w:id="82" w:name="ref-Schlemper:2019aa"/>
    <w:p>
      <w:pPr>
        <w:pStyle w:val="Bibliography"/>
      </w:pPr>
      <w:r>
        <w:t xml:space="preserve">36.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2"/>
    <w:bookmarkStart w:id="83" w:name="ref-Crum:2006aa"/>
    <w:p>
      <w:pPr>
        <w:pStyle w:val="Bibliography"/>
      </w:pPr>
      <w:r>
        <w:t xml:space="preserve">37.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3"/>
    <w:bookmarkStart w:id="84" w:name="ref-Isensee:2020aa"/>
    <w:p>
      <w:pPr>
        <w:pStyle w:val="Bibliography"/>
      </w:pPr>
      <w:r>
        <w:t xml:space="preserve">38.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4"/>
    <w:bookmarkStart w:id="85" w:name="ref-Tustison:2020aa"/>
    <w:p>
      <w:pPr>
        <w:pStyle w:val="Bibliography"/>
      </w:pPr>
      <w:r>
        <w:t xml:space="preserve">39.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5"/>
    <w:bookmarkStart w:id="86" w:name="ref-Vannier:1985aa"/>
    <w:p>
      <w:pPr>
        <w:pStyle w:val="Bibliography"/>
      </w:pPr>
      <w:r>
        <w:t xml:space="preserve">40.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6"/>
    <w:bookmarkStart w:id="87" w:name="ref-Hartigan:1979aa"/>
    <w:p>
      <w:pPr>
        <w:pStyle w:val="Bibliography"/>
      </w:pPr>
      <w:r>
        <w:t xml:space="preserve">41.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7"/>
    <w:bookmarkStart w:id="88" w:name="ref-Shammi:2021aa"/>
    <w:p>
      <w:pPr>
        <w:pStyle w:val="Bibliography"/>
      </w:pPr>
      <w:r>
        <w:t xml:space="preserve">42.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8"/>
    <w:bookmarkStart w:id="89" w:name="ref-Andersen:1996aa"/>
    <w:p>
      <w:pPr>
        <w:pStyle w:val="Bibliography"/>
      </w:pPr>
      <w:r>
        <w:t xml:space="preserve">43.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9"/>
    <w:bookmarkStart w:id="90" w:name="ref-Gudbjartsson:1995aa"/>
    <w:p>
      <w:pPr>
        <w:pStyle w:val="Bibliography"/>
      </w:pPr>
      <w:r>
        <w:t xml:space="preserve">44.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90"/>
    <w:bookmarkStart w:id="91" w:name="ref-Ashburner:2005aa"/>
    <w:p>
      <w:pPr>
        <w:pStyle w:val="Bibliography"/>
      </w:pPr>
      <w:r>
        <w:t xml:space="preserve">45.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1"/>
    <w:bookmarkStart w:id="92" w:name="ref-Avants:2011aa"/>
    <w:p>
      <w:pPr>
        <w:pStyle w:val="Bibliography"/>
      </w:pPr>
      <w:r>
        <w:t xml:space="preserve">46.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2"/>
    <w:bookmarkStart w:id="93" w:name="ref-Collewet:2004aa"/>
    <w:p>
      <w:pPr>
        <w:pStyle w:val="Bibliography"/>
      </w:pPr>
      <w:r>
        <w:t xml:space="preserve">47.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3"/>
    <w:bookmarkStart w:id="94" w:name="ref-Wendt:1994aa"/>
    <w:p>
      <w:pPr>
        <w:pStyle w:val="Bibliography"/>
      </w:pPr>
      <w:r>
        <w:t xml:space="preserve">48.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4"/>
    <w:bookmarkStart w:id="95" w:name="ref-De-Nunzio:2015aa"/>
    <w:p>
      <w:pPr>
        <w:pStyle w:val="Bibliography"/>
      </w:pPr>
      <w:r>
        <w:t xml:space="preserve">49.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5"/>
    <w:bookmarkStart w:id="96" w:name="ref-Nyul:2000aa"/>
    <w:p>
      <w:pPr>
        <w:pStyle w:val="Bibliography"/>
      </w:pPr>
      <w:r>
        <w:t xml:space="preserve">50.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6"/>
    <w:bookmarkStart w:id="97" w:name="ref-Nyul:1999aa"/>
    <w:p>
      <w:pPr>
        <w:pStyle w:val="Bibliography"/>
      </w:pPr>
      <w:r>
        <w:t xml:space="preserve">51.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7"/>
    <w:bookmarkStart w:id="98" w:name="ref-Kirby:2012aa"/>
    <w:p>
      <w:pPr>
        <w:pStyle w:val="Bibliography"/>
      </w:pPr>
      <w:r>
        <w:t xml:space="preserve">52.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8"/>
    <w:bookmarkStart w:id="99" w:name="ref-He:2020aa"/>
    <w:p>
      <w:pPr>
        <w:pStyle w:val="Bibliography"/>
      </w:pPr>
      <w:r>
        <w:t xml:space="preserve">53.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9"/>
    <w:bookmarkStart w:id="100" w:name="ref-He:2016aa"/>
    <w:p>
      <w:pPr>
        <w:pStyle w:val="Bibliography"/>
      </w:pPr>
      <w:r>
        <w:t xml:space="preserve">54.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100"/>
    <w:bookmarkStart w:id="101" w:name="ref-Woodhouse:2005aa"/>
    <w:p>
      <w:pPr>
        <w:pStyle w:val="Bibliography"/>
      </w:pPr>
      <w:r>
        <w:t xml:space="preserve">55.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1"/>
    <w:bookmarkStart w:id="102" w:name="ref-Tustison:2019ac"/>
    <w:p>
      <w:pPr>
        <w:pStyle w:val="Bibliography"/>
      </w:pPr>
      <w:r>
        <w:t xml:space="preserve">56.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2"/>
    <w:bookmarkStart w:id="103" w:name="ref-Falk:2019aa"/>
    <w:p>
      <w:pPr>
        <w:pStyle w:val="Bibliography"/>
      </w:pPr>
      <w:r>
        <w:t xml:space="preserve">57.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3"/>
    <w:bookmarkStart w:id="104" w:name="ref-Zhang:2018aa"/>
    <w:p>
      <w:pPr>
        <w:pStyle w:val="Bibliography"/>
      </w:pPr>
      <w:r>
        <w:t xml:space="preserve">58.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4"/>
    <w:bookmarkStart w:id="105" w:name="ref-Zhang:2001aa"/>
    <w:p>
      <w:pPr>
        <w:pStyle w:val="Bibliography"/>
      </w:pPr>
      <w:r>
        <w:t xml:space="preserve">59.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5"/>
    <w:bookmarkStart w:id="106" w:name="ref-Sled:1998aa"/>
    <w:p>
      <w:pPr>
        <w:pStyle w:val="Bibliography"/>
      </w:pPr>
      <w:r>
        <w:t xml:space="preserve">60.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6"/>
    <w:bookmarkStart w:id="107" w:name="ref-Samee:2003aa"/>
    <w:p>
      <w:pPr>
        <w:pStyle w:val="Bibliography"/>
      </w:pPr>
      <w:r>
        <w:t xml:space="preserve">61.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7"/>
    <w:bookmarkStart w:id="108" w:name="ref-Altes:2001aa"/>
    <w:p>
      <w:pPr>
        <w:pStyle w:val="Bibliography"/>
      </w:pPr>
      <w:r>
        <w:t xml:space="preserve">62.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8"/>
    <w:bookmarkStart w:id="109" w:name="ref-Tustison:2010ac"/>
    <w:p>
      <w:pPr>
        <w:pStyle w:val="Bibliography"/>
      </w:pPr>
      <w:r>
        <w:t xml:space="preserve">63.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9"/>
    <w:bookmarkStart w:id="110" w:name="ref-Tustison:2011aa"/>
    <w:p>
      <w:pPr>
        <w:pStyle w:val="Bibliography"/>
      </w:pPr>
      <w:r>
        <w:t xml:space="preserve">64.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10"/>
    <w:bookmarkStart w:id="111" w:name="ref-Tustison:2013aa"/>
    <w:p>
      <w:pPr>
        <w:pStyle w:val="Bibliography"/>
      </w:pPr>
      <w:r>
        <w:t xml:space="preserve">65.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https://github.com/ntustison/Histograms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 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</w:t>
      </w:r>
      <w:r>
        <w:t xml:space="preserve"> </w:t>
      </w:r>
      <w:r>
        <w:t xml:space="preserve">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contentions stand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2021-03-08T20:44:25Z</dcterms:created>
  <dcterms:modified xsi:type="dcterms:W3CDTF">2021-03-08T20:44:25Z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