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early-acquisition-and-development"/>
      <w:r>
        <w:t xml:space="preserve">Early acquisition and development</w:t>
      </w:r>
      <w:bookmarkEnd w:id="23"/>
    </w:p>
    <w:p>
      <w:pPr>
        <w:pStyle w:val="FirstParagraph"/>
      </w:pPr>
      <w:r>
        <w:t xml:space="preserve">Early hyperpolarized gas pulmonary imaging research reported findings in</w:t>
      </w:r>
      <w:r>
        <w:t xml:space="preserve"> </w:t>
      </w:r>
      <w:r>
        <w:t xml:space="preserve">qualitative terms.</w:t>
      </w:r>
    </w:p>
    <w:p>
      <w:pPr>
        <w:pStyle w:val="BodyText"/>
      </w:pPr>
      <w:r>
        <w:t xml:space="preserve">Descriptions:</w:t>
      </w:r>
    </w:p>
    <w:p>
      <w:pPr>
        <w:numPr>
          <w:numId w:val="1001"/>
          <w:ilvl w:val="0"/>
        </w:numPr>
      </w:pPr>
      <w:r>
        <w:t xml:space="preserve">“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He MRI depicts anatomical structures reliably</w:t>
      </w:r>
      <w:r>
        <w:t xml:space="preserve">”</w:t>
      </w:r>
      <w:r>
        <w:t xml:space="preserve"> </w:t>
      </w:r>
      <w:r>
        <w:t xml:space="preserve">(1)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hypointense areas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signal intensity inhomogeneities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wedge-shaped areas with less signal intensity</w:t>
      </w:r>
      <w:r>
        <w:t xml:space="preserve">”</w:t>
      </w:r>
      <w:r>
        <w:t xml:space="preserve"> </w:t>
      </w:r>
      <w:r>
        <w:t xml:space="preserve">(2)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patchy or wedge-shaped defects</w:t>
      </w:r>
      <w:r>
        <w:t xml:space="preserve">”</w:t>
      </w:r>
      <w:r>
        <w:t xml:space="preserve"> </w:t>
      </w:r>
      <w:r>
        <w:t xml:space="preserve">(3)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ventilation defects</w:t>
      </w:r>
      <w:r>
        <w:t xml:space="preserve">”</w:t>
      </w:r>
      <w:r>
        <w:t xml:space="preserve"> </w:t>
      </w:r>
      <w:r>
        <w:t xml:space="preserve">(4)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defects were pleural-based, frequently wedge-shaped, and varied in size from</w:t>
      </w:r>
      <w:r>
        <w:t xml:space="preserve"> </w:t>
      </w:r>
      <w:r>
        <w:t xml:space="preserve">tiny to segmental</w:t>
      </w:r>
      <w:r>
        <w:t xml:space="preserve">”</w:t>
      </w:r>
      <w:r>
        <w:t xml:space="preserve"> </w:t>
      </w:r>
      <w:r>
        <w:t xml:space="preserve">(4)</w:t>
      </w:r>
    </w:p>
    <w:p>
      <w:pPr>
        <w:pStyle w:val="Heading2"/>
      </w:pPr>
      <w:bookmarkStart w:id="24" w:name="historical-overview-of-quantification"/>
      <w:r>
        <w:t xml:space="preserve">Historical overview of quantification</w:t>
      </w:r>
      <w:bookmarkEnd w:id="24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(4–6)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pStyle w:val="Compact"/>
        <w:numPr>
          <w:numId w:val="1002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(7, 8)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(9, 10)</w:t>
      </w:r>
      <w:r>
        <w:t xml:space="preserve">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(11, 12)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(13)</w:t>
      </w:r>
      <w:r>
        <w:t xml:space="preserve"> </w:t>
      </w:r>
      <w:r>
        <w:t xml:space="preserve">k-means algorithm,</w:t>
      </w:r>
    </w:p>
    <w:p>
      <w:pPr>
        <w:pStyle w:val="Compact"/>
        <w:numPr>
          <w:numId w:val="1002"/>
          <w:ilvl w:val="0"/>
        </w:numPr>
      </w:pPr>
      <w:r>
        <w:t xml:space="preserve">nonlinear intensity standardization using fuzzy c-means</w:t>
      </w:r>
      <w:r>
        <w:t xml:space="preserve"> </w:t>
      </w:r>
      <w:r>
        <w:t xml:space="preserve">(14)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(15)</w:t>
      </w:r>
      <w:r>
        <w:t xml:space="preserve">, and</w:t>
      </w:r>
    </w:p>
    <w:p>
      <w:pPr>
        <w:pStyle w:val="Compact"/>
        <w:numPr>
          <w:numId w:val="1002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(16)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(7)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(17)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(8)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(18, 19)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(20)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(21)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(21–25)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(24)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(26–28)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(21, 23)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(11, 29)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(30)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(31)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(32)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(15)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(16)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(33)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(34)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(35)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softens</w:t>
      </w:r>
      <w:r>
        <w:t xml:space="preserve"> </w:t>
      </w:r>
      <w:r>
        <w:t xml:space="preserve">the intensity thresholds between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(36)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(20)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6" w:name="motivation-for-current-study"/>
      <w:r>
        <w:t xml:space="preserve">Motivation for current study</w:t>
      </w:r>
      <w:bookmarkEnd w:id="26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which made for a total simulated cohort of 51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(37)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robust than</w:t>
      </w:r>
      <w:r>
        <w:t xml:space="preserve"> </w:t>
      </w:r>
      <w:r>
        <w:t xml:space="preserve">optimizing directly in the image domain.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However, the aforementioned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(13, 38)</w:t>
      </w:r>
      <w:r>
        <w:t xml:space="preserve">) and bias which become increasingly</w:t>
      </w:r>
      <w:r>
        <w:t xml:space="preserve"> </w:t>
      </w:r>
      <w:r>
        <w:t xml:space="preserve">significant with multi-site</w:t>
      </w:r>
      <w:r>
        <w:t xml:space="preserve"> </w:t>
      </w:r>
      <w:r>
        <w:t xml:space="preserve">(39)</w:t>
      </w:r>
      <w:r>
        <w:t xml:space="preserve"> </w:t>
      </w:r>
      <w:r>
        <w:t xml:space="preserve">and large-scale studies. In addition, generally</w:t>
      </w:r>
      <w:r>
        <w:t xml:space="preserve"> </w:t>
      </w:r>
      <w:r>
        <w:t xml:space="preserve">speaking, refinements in measuring capabilities correlate with scientific</w:t>
      </w:r>
      <w:r>
        <w:t xml:space="preserve"> </w:t>
      </w:r>
      <w:r>
        <w:t xml:space="preserve">advancement so as acquisition and analysis methodologies improve, so should the</w:t>
      </w:r>
      <w:r>
        <w:t xml:space="preserve"> </w:t>
      </w:r>
      <w:r>
        <w:t xml:space="preserve">level of 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(40)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(41)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(42)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(43)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(44)</w:t>
      </w:r>
      <w:r>
        <w:t xml:space="preserve">.</w:t>
      </w:r>
    </w:p>
    <w:p>
      <w:pPr>
        <w:pStyle w:val="Heading1"/>
      </w:pPr>
      <w:bookmarkStart w:id="28" w:name="materials-and-methods"/>
      <w:r>
        <w:t xml:space="preserve">Materials and methods</w:t>
      </w:r>
      <w:bookmarkEnd w:id="28"/>
    </w:p>
    <w:p>
      <w:pPr>
        <w:pStyle w:val="Heading2"/>
      </w:pPr>
      <w:bookmarkStart w:id="29" w:name="hyperpolarized-gas-imaging-acquisition"/>
      <w:r>
        <w:t xml:space="preserve">Hyperpolarized gas imaging acquisition</w:t>
      </w:r>
      <w:bookmarkEnd w:id="29"/>
    </w:p>
    <w:p>
      <w:pPr>
        <w:pStyle w:val="Heading3"/>
      </w:pPr>
      <w:bookmarkStart w:id="30" w:name="university-of-virginia-cohort"/>
      <w:r>
        <w:t xml:space="preserve">University of Virginia cohort</w:t>
      </w:r>
      <w:bookmarkEnd w:id="30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3"/>
      </w:pPr>
      <w:bookmarkStart w:id="31" w:name="he-2019-harvard-dataverse-cohort"/>
      <w:r>
        <w:t xml:space="preserve">He 2019 Harvard Dataverse cohort</w:t>
      </w:r>
      <w:bookmarkEnd w:id="31"/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(45)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(46)</w:t>
      </w:r>
      <w:r>
        <w:t xml:space="preserve">. These data comprised</w:t>
      </w:r>
      <w:r>
        <w:t xml:space="preserve"> </w:t>
      </w:r>
      <w:r>
        <w:t xml:space="preserve">the original Xe129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included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provided to the GitHub repository associated with this work.</w:t>
      </w:r>
    </w:p>
    <w:p>
      <w:pPr>
        <w:pStyle w:val="Heading2"/>
      </w:pPr>
      <w:bookmarkStart w:id="32" w:name="algorithmic-implementations"/>
      <w:r>
        <w:t xml:space="preserve">Algorithmic implementations</w:t>
      </w:r>
      <w:bookmarkEnd w:id="32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 linear binning</w:t>
      </w:r>
      <w:r>
        <w:t xml:space="preserve"> </w:t>
      </w:r>
      <w:r>
        <w:t xml:space="preserve">(9)</w:t>
      </w:r>
      <w:r>
        <w:t xml:space="preserve">, hierarchical k-means</w:t>
      </w:r>
      <w:r>
        <w:t xml:space="preserve"> </w:t>
      </w:r>
      <w:r>
        <w:t xml:space="preserve">(11)</w:t>
      </w:r>
      <w:r>
        <w:t xml:space="preserve">, fuzzy spatial c-means</w:t>
      </w:r>
      <w:r>
        <w:t xml:space="preserve"> </w:t>
      </w:r>
      <w:r>
        <w:t xml:space="preserve">(15)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(16)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(43)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(47)</w:t>
      </w:r>
      <w:r>
        <w:t xml:space="preserve">. In designing the evaluation study:</w:t>
      </w:r>
    </w:p>
    <w:p>
      <w:pPr>
        <w:numPr>
          <w:numId w:val="1003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3"/>
          <w:ilvl w:val="0"/>
        </w:numPr>
      </w:pPr>
      <w:r>
        <w:t xml:space="preserve">The imaging data used for the evaluation is available upon request and through</w:t>
      </w:r>
      <w:r>
        <w:t xml:space="preserve"> </w:t>
      </w:r>
      <w:r>
        <w:t xml:space="preserve">a data sharing agreement. All other data, including additional evaluation</w:t>
      </w:r>
      <w:r>
        <w:t xml:space="preserve"> </w:t>
      </w:r>
      <w:r>
        <w:t xml:space="preserve">plots are available, in the previously specified GitHub repository.</w:t>
      </w:r>
    </w:p>
    <w:p>
      <w:pPr>
        <w:numPr>
          <w:numId w:val="1003"/>
          <w:ilvl w:val="0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numId w:val="1003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two</w:t>
      </w:r>
      <w:r>
        <w:t xml:space="preserve"> </w:t>
      </w:r>
      <w:r>
        <w:t xml:space="preserve">reasons. First, it is explicitly used in multiple algorithms (e.g.,</w:t>
      </w:r>
      <w:r>
        <w:t xml:space="preserve"> </w:t>
      </w:r>
      <w:r>
        <w:t xml:space="preserve">(8, 9, 13, 16, 48)</w:t>
      </w:r>
      <w:r>
        <w:t xml:space="preserve">) despite the issues raised</w:t>
      </w:r>
      <w:r>
        <w:t xml:space="preserve"> </w:t>
      </w:r>
      <w:r>
        <w:t xml:space="preserve">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7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7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(43)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(49)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(50)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(51)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8" w:name="network-training"/>
      <w:r>
        <w:t xml:space="preserve">Network training</w:t>
      </w:r>
      <w:bookmarkEnd w:id="38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(51)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(52)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(16)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9" w:name="pipeline-processing"/>
      <w:r>
        <w:t xml:space="preserve">Pipeline processing</w:t>
      </w:r>
      <w:bookmarkEnd w:id="39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40" w:name="results"/>
      <w:r>
        <w:t xml:space="preserve">Results</w:t>
      </w:r>
      <w:bookmarkEnd w:id="40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(53)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(54)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quantifying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41"/>
      </w:r>
    </w:p>
    <w:p>
      <w:pPr>
        <w:numPr>
          <w:numId w:val="1004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5"/>
          <w:ilvl w:val="1"/>
        </w:numPr>
      </w:pPr>
      <w:r>
        <w:t xml:space="preserve">Diagnostic prediction</w:t>
      </w:r>
    </w:p>
    <w:p>
      <w:pPr>
        <w:numPr>
          <w:numId w:val="1004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6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6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6"/>
          <w:ilvl w:val="1"/>
        </w:numPr>
      </w:pPr>
      <w:r>
        <w:t xml:space="preserve">Effects of simulated MR artefacts on multi-site data</w:t>
      </w:r>
    </w:p>
    <w:p>
      <w:pPr>
        <w:pStyle w:val="Heading2"/>
      </w:pPr>
      <w:bookmarkStart w:id="42" w:name="diagnostic-prediction"/>
      <w:r>
        <w:t xml:space="preserve">Diagnostic prediction</w:t>
      </w:r>
      <w:bookmarkEnd w:id="42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(44, 55)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(48, 56, 57)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(54)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(58)</w:t>
      </w:r>
      <w:r>
        <w:t xml:space="preserve">.</w:t>
      </w:r>
    </w:p>
    <w:p>
      <w:pPr>
        <w:pStyle w:val="Heading2"/>
      </w:pPr>
      <w:bookmarkStart w:id="43" w:name="t1-weighted-brain-segmentation-analogy"/>
      <w:r>
        <w:t xml:space="preserve">T1-weighted brain segmentation analogy</w:t>
      </w:r>
      <w:bookmarkEnd w:id="43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(59–61)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(62, 63)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(64)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p>
      <w:pPr>
        <w:pStyle w:val="Heading2"/>
      </w:pPr>
      <w:bookmarkStart w:id="44" w:name="effect-of-reference-image-set-selection"/>
      <w:r>
        <w:t xml:space="preserve">Effect of reference image set selection</w:t>
      </w:r>
      <w:bookmarkEnd w:id="44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(9)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(i.e., ventilation defect)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(9)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He 2019 Harvard Dataverse images used were preprocessed using N4</w:t>
      </w:r>
      <w:r>
        <w:t xml:space="preserve"> </w:t>
      </w:r>
      <w:r>
        <w:t xml:space="preserve">(46)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quite a bit of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p>
      <w:pPr>
        <w:pStyle w:val="Heading2"/>
      </w:pPr>
      <w:bookmarkStart w:id="45" w:name="effects-of-mr-based-simulated-image-distortions"/>
      <w:r>
        <w:t xml:space="preserve">Effects of MR-based simulated image distortions</w:t>
      </w:r>
      <w:bookmarkEnd w:id="45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He 2019 Harvard Dataverse cohort were generated for each of the</w:t>
      </w:r>
      <w:r>
        <w:t xml:space="preserve"> </w:t>
      </w:r>
      <w:r>
        <w:t xml:space="preserve">three categories of randomly generated artefacts: noise, nonlinearities, and</w:t>
      </w:r>
      <w:r>
        <w:t xml:space="preserve"> </w:t>
      </w:r>
      <w:r>
        <w:t xml:space="preserve">combined noise and intensity nonlinearites. The original image as well as the</w:t>
      </w:r>
      <w:r>
        <w:t xml:space="preserve"> </w:t>
      </w:r>
      <w:r>
        <w:t xml:space="preserve">simulated images were segmented using each of the five algorithms. Following</w:t>
      </w:r>
      <w:r>
        <w:t xml:space="preserve"> </w:t>
      </w:r>
      <w:r>
        <w:t xml:space="preserve">our earlier protocol, we maintained the original Clusters 1 and 2 per algorithm</w:t>
      </w:r>
      <w:r>
        <w:t xml:space="preserve"> </w:t>
      </w:r>
      <w:r>
        <w:t xml:space="preserve">and combined the remaining clusters into a single third cluster. This allowed</w:t>
      </w:r>
      <w:r>
        <w:t xml:space="preserve"> </w:t>
      </w:r>
      <w:r>
        <w:t xml:space="preserve">us to compare between algorithms and maintain separate those clusters which are</w:t>
      </w:r>
      <w:r>
        <w:t xml:space="preserve"> </w:t>
      </w:r>
      <w:r>
        <w:t xml:space="preserve">the most studied and reported in the literature. The Dice metric was used to</w:t>
      </w:r>
      <w:r>
        <w:t xml:space="preserve"> </w:t>
      </w:r>
      <w:r>
        <w:t xml:space="preserve">quantify the amount of deviation, per cluster, between the segmentation produced</w:t>
      </w:r>
      <w:r>
        <w:t xml:space="preserve"> </w:t>
      </w:r>
      <w:r>
        <w:t xml:space="preserve">by the original image and the corresponding simulated distorted image</w:t>
      </w:r>
      <w:r>
        <w:t xml:space="preserve"> </w:t>
      </w:r>
      <w:r>
        <w:t xml:space="preserve">segmentation which are plotted in Figure</w:t>
      </w:r>
      <w:r>
        <w:t xml:space="preserve"> </w:t>
      </w:r>
      <w:r>
        <w:t xml:space="preserve"> </w:t>
      </w:r>
      <w:r>
        <w:t xml:space="preserve">(left column).</w:t>
      </w:r>
      <w:r>
        <w:t xml:space="preserve"> </w:t>
      </w:r>
      <w:r>
        <w:t xml:space="preserve">These results were then compared, on a per-cluster and per-artefact basis, using</w:t>
      </w:r>
      <w:r>
        <w:t xml:space="preserve"> </w:t>
      </w:r>
      <w:r>
        <w:t xml:space="preserve">a one-way ANOVA followed by Tukey’s Honest Significant Difference (HSD) test.</w:t>
      </w:r>
      <w:r>
        <w:t xml:space="preserve"> </w:t>
      </w:r>
      <w:r>
        <w:t xml:space="preserve">95% confidence intervals are provided in the right column of Figure</w:t>
      </w:r>
      <w:r>
        <w:t xml:space="preserve"> </w:t>
      </w:r>
      <w:r>
        <w:t xml:space="preserve">.</w:t>
      </w:r>
    </w:p>
    <w:p>
      <w:pPr>
        <w:pStyle w:val="Heading1"/>
      </w:pPr>
      <w:bookmarkStart w:id="46" w:name="discussion"/>
      <w:r>
        <w:t xml:space="preserve">Discussion</w:t>
      </w:r>
      <w:bookmarkEnd w:id="46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numId w:val="1007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7"/>
          <w:ilvl w:val="0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does use a principled optimization criterion, this criterion is</w:t>
      </w:r>
      <w:r>
        <w:t xml:space="preserve"> </w:t>
      </w:r>
      <w:r>
        <w:t xml:space="preserve">not adequately tailored for hyperpolarized gas imaging and susceptible to</w:t>
      </w:r>
      <w:r>
        <w:t xml:space="preserve"> </w:t>
      </w:r>
      <w:r>
        <w:t xml:space="preserve">various levels of noise.</w:t>
      </w:r>
    </w:p>
    <w:p>
      <w:pPr>
        <w:numPr>
          <w:numId w:val="1007"/>
          <w:ilvl w:val="0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numId w:val="1007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(65)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should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(66)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(43)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(67)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p>
      <w:r>
        <w:br w:type="page"/>
      </w:r>
    </w:p>
    <w:p>
      <w:pPr>
        <w:pStyle w:val="Heading1"/>
      </w:pPr>
      <w:bookmarkStart w:id="47" w:name="references"/>
      <w:r>
        <w:t xml:space="preserve">References</w:t>
      </w:r>
      <w:bookmarkEnd w:id="47"/>
    </w:p>
    <w:bookmarkStart w:id="115" w:name="refs"/>
    <w:bookmarkStart w:id="48" w:name="ref-Bachert:1996aa"/>
    <w:p>
      <w:pPr>
        <w:pStyle w:val="Bibliography"/>
      </w:pPr>
      <w:r>
        <w:t xml:space="preserve">1. Bachert P, Schad LR, Bock M, et al.: Nuclear magnetic resonance imaging of airways in humans with use of hyperpolarized 3He.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36:192–6.</w:t>
      </w:r>
    </w:p>
    <w:bookmarkEnd w:id="48"/>
    <w:bookmarkStart w:id="49" w:name="ref-Kauczor:1996aa"/>
    <w:p>
      <w:pPr>
        <w:pStyle w:val="Bibliography"/>
      </w:pPr>
      <w:r>
        <w:t xml:space="preserve">2. Kauczor HU, Hofmann D, Kreitner KF, et al.: Normal and abnormal pulmonary ventilation: Visualization at hyperpolarized He-3 MR imaging.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1996; 201:564–8.</w:t>
      </w:r>
    </w:p>
    <w:bookmarkEnd w:id="49"/>
    <w:bookmarkStart w:id="50" w:name="ref-Kauczor:1997aa"/>
    <w:p>
      <w:pPr>
        <w:pStyle w:val="Bibliography"/>
      </w:pPr>
      <w:r>
        <w:t xml:space="preserve">3. Kauczor HU, Ebert M, Kreitner KF, et al.: Imaging of the lungs using 3He MRI: Preliminary clinical experience in 18 patients with and without lung disease.</w:t>
      </w:r>
      <w:r>
        <w:t xml:space="preserve"> </w:t>
      </w:r>
      <w:r>
        <w:rPr>
          <w:i/>
        </w:rPr>
        <w:t xml:space="preserve">J Magn Reson Imaging</w:t>
      </w:r>
      <w:r>
        <w:t xml:space="preserve">; 7:538–43.</w:t>
      </w:r>
    </w:p>
    <w:bookmarkEnd w:id="50"/>
    <w:bookmarkStart w:id="51" w:name="ref-Altes:2001aa"/>
    <w:p>
      <w:pPr>
        <w:pStyle w:val="Bibliography"/>
      </w:pPr>
      <w:r>
        <w:t xml:space="preserve">4.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51"/>
    <w:bookmarkStart w:id="52" w:name="ref-Lange:1999aa"/>
    <w:p>
      <w:pPr>
        <w:pStyle w:val="Bibliography"/>
      </w:pPr>
      <w:r>
        <w:t xml:space="preserve">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52"/>
    <w:bookmarkStart w:id="53" w:name="ref-Samee:2003aa"/>
    <w:p>
      <w:pPr>
        <w:pStyle w:val="Bibliography"/>
      </w:pPr>
      <w:r>
        <w:t xml:space="preserve">6.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53"/>
    <w:bookmarkStart w:id="54" w:name="ref-Woodhouse:2005aa"/>
    <w:p>
      <w:pPr>
        <w:pStyle w:val="Bibliography"/>
      </w:pPr>
      <w:r>
        <w:t xml:space="preserve">7.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4"/>
    <w:bookmarkStart w:id="55" w:name="ref-Shammi:2021aa"/>
    <w:p>
      <w:pPr>
        <w:pStyle w:val="Bibliography"/>
      </w:pPr>
      <w:r>
        <w:t xml:space="preserve">8.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5"/>
    <w:bookmarkStart w:id="56" w:name="ref-He:2016aa"/>
    <w:p>
      <w:pPr>
        <w:pStyle w:val="Bibliography"/>
      </w:pPr>
      <w:r>
        <w:t xml:space="preserve">9.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6"/>
    <w:bookmarkStart w:id="57" w:name="ref-He:2020aa"/>
    <w:p>
      <w:pPr>
        <w:pStyle w:val="Bibliography"/>
      </w:pPr>
      <w:r>
        <w:t xml:space="preserve">10.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7"/>
    <w:bookmarkStart w:id="58" w:name="ref-Kirby:2012aa"/>
    <w:p>
      <w:pPr>
        <w:pStyle w:val="Bibliography"/>
      </w:pPr>
      <w:r>
        <w:t xml:space="preserve">11.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8"/>
    <w:bookmarkStart w:id="59" w:name="ref-Kirby:2012ab"/>
    <w:p>
      <w:pPr>
        <w:pStyle w:val="Bibliography"/>
      </w:pPr>
      <w:r>
        <w:t xml:space="preserve">12.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9"/>
    <w:bookmarkStart w:id="60" w:name="ref-Zha:2016aa"/>
    <w:p>
      <w:pPr>
        <w:pStyle w:val="Bibliography"/>
      </w:pPr>
      <w:r>
        <w:t xml:space="preserve">13.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60"/>
    <w:bookmarkStart w:id="61" w:name="ref-Ray:2003aa"/>
    <w:p>
      <w:pPr>
        <w:pStyle w:val="Bibliography"/>
      </w:pPr>
      <w:r>
        <w:t xml:space="preserve">14.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61"/>
    <w:bookmarkStart w:id="62" w:name="ref-Hughes:2018aa"/>
    <w:p>
      <w:pPr>
        <w:pStyle w:val="Bibliography"/>
      </w:pPr>
      <w:r>
        <w:t xml:space="preserve">15.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62"/>
    <w:bookmarkStart w:id="63" w:name="ref-Tustison:2011aa"/>
    <w:p>
      <w:pPr>
        <w:pStyle w:val="Bibliography"/>
      </w:pPr>
      <w:r>
        <w:t xml:space="preserve">16.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63"/>
    <w:bookmarkStart w:id="64" w:name="ref-Thomen:2015aa"/>
    <w:p>
      <w:pPr>
        <w:pStyle w:val="Bibliography"/>
      </w:pPr>
      <w:r>
        <w:t xml:space="preserve">17.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4"/>
    <w:bookmarkStart w:id="65" w:name="ref-Gudbjartsson:1995aa"/>
    <w:p>
      <w:pPr>
        <w:pStyle w:val="Bibliography"/>
      </w:pPr>
      <w:r>
        <w:t xml:space="preserve">18.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5"/>
    <w:bookmarkStart w:id="66" w:name="ref-Andersen:1996aa"/>
    <w:p>
      <w:pPr>
        <w:pStyle w:val="Bibliography"/>
      </w:pPr>
      <w:r>
        <w:t xml:space="preserve">19.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6"/>
    <w:bookmarkStart w:id="67" w:name="ref-Sled:1998aa"/>
    <w:p>
      <w:pPr>
        <w:pStyle w:val="Bibliography"/>
      </w:pPr>
      <w:r>
        <w:t xml:space="preserve">20.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7"/>
    <w:bookmarkStart w:id="68" w:name="ref-Nyul:1999aa"/>
    <w:p>
      <w:pPr>
        <w:pStyle w:val="Bibliography"/>
      </w:pPr>
      <w:r>
        <w:t xml:space="preserve">21.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8"/>
    <w:bookmarkStart w:id="69" w:name="ref-Wendt:1994aa"/>
    <w:p>
      <w:pPr>
        <w:pStyle w:val="Bibliography"/>
      </w:pPr>
      <w:r>
        <w:t xml:space="preserve">22.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9"/>
    <w:bookmarkStart w:id="70" w:name="ref-Nyul:2000aa"/>
    <w:p>
      <w:pPr>
        <w:pStyle w:val="Bibliography"/>
      </w:pPr>
      <w:r>
        <w:t xml:space="preserve">23.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70"/>
    <w:bookmarkStart w:id="71" w:name="ref-Collewet:2004aa"/>
    <w:p>
      <w:pPr>
        <w:pStyle w:val="Bibliography"/>
      </w:pPr>
      <w:r>
        <w:t xml:space="preserve">24.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71"/>
    <w:bookmarkStart w:id="72" w:name="ref-De-Nunzio:2015aa"/>
    <w:p>
      <w:pPr>
        <w:pStyle w:val="Bibliography"/>
      </w:pPr>
      <w:r>
        <w:t xml:space="preserve">25.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72"/>
    <w:bookmarkStart w:id="73" w:name="ref-Zhang:2001aa"/>
    <w:p>
      <w:pPr>
        <w:pStyle w:val="Bibliography"/>
      </w:pPr>
      <w:r>
        <w:t xml:space="preserve">26.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73"/>
    <w:bookmarkStart w:id="74" w:name="ref-Ashburner:2005aa"/>
    <w:p>
      <w:pPr>
        <w:pStyle w:val="Bibliography"/>
      </w:pPr>
      <w:r>
        <w:t xml:space="preserve">27.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4"/>
    <w:bookmarkStart w:id="75" w:name="ref-Avants:2011aa"/>
    <w:p>
      <w:pPr>
        <w:pStyle w:val="Bibliography"/>
      </w:pPr>
      <w:r>
        <w:t xml:space="preserve">28.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5"/>
    <w:bookmarkStart w:id="76" w:name="ref-Cooley:2010aa"/>
    <w:p>
      <w:pPr>
        <w:pStyle w:val="Bibliography"/>
      </w:pPr>
      <w:r>
        <w:t xml:space="preserve">29.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6"/>
    <w:bookmarkStart w:id="77" w:name="ref-Hartigan:1979aa"/>
    <w:p>
      <w:pPr>
        <w:pStyle w:val="Bibliography"/>
      </w:pPr>
      <w:r>
        <w:t xml:space="preserve">30.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7"/>
    <w:bookmarkStart w:id="78" w:name="ref-Bezdek:1981aa"/>
    <w:p>
      <w:pPr>
        <w:pStyle w:val="Bibliography"/>
      </w:pPr>
      <w:r>
        <w:t xml:space="preserve">31.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78"/>
    <w:bookmarkStart w:id="79" w:name="ref-Chuang:2006aa"/>
    <w:p>
      <w:pPr>
        <w:pStyle w:val="Bibliography"/>
      </w:pPr>
      <w:r>
        <w:t xml:space="preserve">32.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79"/>
    <w:bookmarkStart w:id="80" w:name="ref-Vannier:1985aa"/>
    <w:p>
      <w:pPr>
        <w:pStyle w:val="Bibliography"/>
      </w:pPr>
      <w:r>
        <w:t xml:space="preserve">33.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80"/>
    <w:bookmarkStart w:id="81" w:name="ref-Besag:1986aa"/>
    <w:p>
      <w:pPr>
        <w:pStyle w:val="Bibliography"/>
      </w:pPr>
      <w:r>
        <w:t xml:space="preserve">34.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81"/>
    <w:bookmarkStart w:id="82" w:name="ref-Dempster:1977aa"/>
    <w:p>
      <w:pPr>
        <w:pStyle w:val="Bibliography"/>
      </w:pPr>
      <w:r>
        <w:t xml:space="preserve">35.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82"/>
    <w:bookmarkStart w:id="83" w:name="ref-Tustison:2010ac"/>
    <w:p>
      <w:pPr>
        <w:pStyle w:val="Bibliography"/>
      </w:pPr>
      <w:r>
        <w:t xml:space="preserve">36.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83"/>
    <w:bookmarkStart w:id="84" w:name="ref-Wang:2004aa"/>
    <w:p>
      <w:pPr>
        <w:pStyle w:val="Bibliography"/>
      </w:pPr>
      <w:r>
        <w:t xml:space="preserve">37.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84"/>
    <w:bookmarkStart w:id="85" w:name="ref-Svenningsen:2020aa"/>
    <w:p>
      <w:pPr>
        <w:pStyle w:val="Bibliography"/>
      </w:pPr>
      <w:r>
        <w:t xml:space="preserve">38.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85"/>
    <w:bookmarkStart w:id="86" w:name="ref-Couch:2019aa"/>
    <w:p>
      <w:pPr>
        <w:pStyle w:val="Bibliography"/>
      </w:pPr>
      <w:r>
        <w:t xml:space="preserve">39.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86"/>
    <w:bookmarkStart w:id="87" w:name="ref-LeCun:2015aa"/>
    <w:p>
      <w:pPr>
        <w:pStyle w:val="Bibliography"/>
      </w:pPr>
      <w:r>
        <w:t xml:space="preserve">40.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7"/>
    <w:bookmarkStart w:id="88" w:name="ref-Shen:2017aa"/>
    <w:p>
      <w:pPr>
        <w:pStyle w:val="Bibliography"/>
      </w:pPr>
      <w:r>
        <w:t xml:space="preserve">41.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8"/>
    <w:bookmarkStart w:id="89" w:name="ref-Zhang:2018aa"/>
    <w:p>
      <w:pPr>
        <w:pStyle w:val="Bibliography"/>
      </w:pPr>
      <w:r>
        <w:t xml:space="preserve">42.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9"/>
    <w:bookmarkStart w:id="90" w:name="ref-Tustison:2019ac"/>
    <w:p>
      <w:pPr>
        <w:pStyle w:val="Bibliography"/>
      </w:pPr>
      <w:r>
        <w:t xml:space="preserve">43.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90"/>
    <w:bookmarkStart w:id="91" w:name="ref-Tustison:2020aa"/>
    <w:p>
      <w:pPr>
        <w:pStyle w:val="Bibliography"/>
      </w:pPr>
      <w:r>
        <w:t xml:space="preserve">44.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91"/>
    <w:bookmarkStart w:id="92" w:name="ref-He_dataverse:2018"/>
    <w:p>
      <w:pPr>
        <w:pStyle w:val="Bibliography"/>
      </w:pPr>
      <w:r>
        <w:t xml:space="preserve">45. He M, Zha W, Tan F, Rankine L, Fain S, Driehuys B: SNR-degraded 129Xe ventilation MRI for the comparison of quantification methods. 2018.</w:t>
      </w:r>
    </w:p>
    <w:bookmarkEnd w:id="92"/>
    <w:bookmarkStart w:id="93" w:name="ref-He:2019aa"/>
    <w:p>
      <w:pPr>
        <w:pStyle w:val="Bibliography"/>
      </w:pPr>
      <w:r>
        <w:t xml:space="preserve">46.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93"/>
    <w:bookmarkStart w:id="94" w:name="ref-Tustison:2013aa"/>
    <w:p>
      <w:pPr>
        <w:pStyle w:val="Bibliography"/>
      </w:pPr>
      <w:r>
        <w:t xml:space="preserve">47.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94"/>
    <w:bookmarkStart w:id="95" w:name="ref-Santyr:2019aa"/>
    <w:p>
      <w:pPr>
        <w:pStyle w:val="Bibliography"/>
      </w:pPr>
      <w:r>
        <w:t xml:space="preserve">48.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5"/>
    <w:bookmarkStart w:id="96" w:name="ref-Schlemper:2019aa"/>
    <w:p>
      <w:pPr>
        <w:pStyle w:val="Bibliography"/>
      </w:pPr>
      <w:r>
        <w:t xml:space="preserve">49.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96"/>
    <w:bookmarkStart w:id="97" w:name="ref-Falk:2019aa"/>
    <w:p>
      <w:pPr>
        <w:pStyle w:val="Bibliography"/>
      </w:pPr>
      <w:r>
        <w:t xml:space="preserve">50.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97"/>
    <w:bookmarkStart w:id="98" w:name="ref-Isensee:2020aa"/>
    <w:p>
      <w:pPr>
        <w:pStyle w:val="Bibliography"/>
      </w:pPr>
      <w:r>
        <w:t xml:space="preserve">51.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98"/>
    <w:bookmarkStart w:id="99" w:name="ref-Crum:2006aa"/>
    <w:p>
      <w:pPr>
        <w:pStyle w:val="Bibliography"/>
      </w:pPr>
      <w:r>
        <w:t xml:space="preserve">52.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99"/>
    <w:bookmarkStart w:id="100" w:name="ref-Warfield:2004aa"/>
    <w:p>
      <w:pPr>
        <w:pStyle w:val="Bibliography"/>
      </w:pPr>
      <w:r>
        <w:t xml:space="preserve">53.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100"/>
    <w:bookmarkStart w:id="101" w:name="ref-Breiman:2001aa"/>
    <w:p>
      <w:pPr>
        <w:pStyle w:val="Bibliography"/>
      </w:pPr>
      <w:r>
        <w:t xml:space="preserve">54.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101"/>
    <w:bookmarkStart w:id="102" w:name="ref-Tustison:2014ab"/>
    <w:p>
      <w:pPr>
        <w:pStyle w:val="Bibliography"/>
      </w:pPr>
      <w:r>
        <w:t xml:space="preserve">55.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102"/>
    <w:bookmarkStart w:id="103" w:name="ref-Myc:2020aa"/>
    <w:p>
      <w:pPr>
        <w:pStyle w:val="Bibliography"/>
      </w:pPr>
      <w:r>
        <w:t xml:space="preserve">56.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103"/>
    <w:bookmarkStart w:id="104" w:name="ref-Mammarappallil:2019aa"/>
    <w:p>
      <w:pPr>
        <w:pStyle w:val="Bibliography"/>
      </w:pPr>
      <w:r>
        <w:t xml:space="preserve">57.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104"/>
    <w:bookmarkStart w:id="105" w:name="ref-Badnjevic:2018aa"/>
    <w:p>
      <w:pPr>
        <w:pStyle w:val="Bibliography"/>
      </w:pPr>
      <w:r>
        <w:t xml:space="preserve">58.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105"/>
    <w:bookmarkStart w:id="106" w:name="ref-Bezdek:1993aa"/>
    <w:p>
      <w:pPr>
        <w:pStyle w:val="Bibliography"/>
      </w:pPr>
      <w:r>
        <w:t xml:space="preserve">59.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106"/>
    <w:bookmarkStart w:id="107" w:name="ref-Pham:2000aa"/>
    <w:p>
      <w:pPr>
        <w:pStyle w:val="Bibliography"/>
      </w:pPr>
      <w:r>
        <w:t xml:space="preserve">60.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107"/>
    <w:bookmarkStart w:id="108" w:name="ref-Despotovic:2015aa"/>
    <w:p>
      <w:pPr>
        <w:pStyle w:val="Bibliography"/>
      </w:pPr>
      <w:r>
        <w:t xml:space="preserve">61.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108"/>
    <w:bookmarkStart w:id="109" w:name="ref-Cuadra:2005aa"/>
    <w:p>
      <w:pPr>
        <w:pStyle w:val="Bibliography"/>
      </w:pPr>
      <w:r>
        <w:t xml:space="preserve">62.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9"/>
    <w:bookmarkStart w:id="110" w:name="ref-Boer:2010aa"/>
    <w:p>
      <w:pPr>
        <w:pStyle w:val="Bibliography"/>
      </w:pPr>
      <w:r>
        <w:t xml:space="preserve">63.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10"/>
    <w:bookmarkStart w:id="111" w:name="ref-srpb"/>
    <w:p>
      <w:pPr>
        <w:pStyle w:val="Bibliography"/>
      </w:pPr>
      <w:r>
        <w:t xml:space="preserve">64. https://bicr-resource.atr.jp/srpbs1600/..</w:t>
      </w:r>
    </w:p>
    <w:bookmarkEnd w:id="111"/>
    <w:bookmarkStart w:id="112" w:name="ref-Wolpert:1997aa"/>
    <w:p>
      <w:pPr>
        <w:pStyle w:val="Bibliography"/>
      </w:pPr>
      <w:r>
        <w:t xml:space="preserve">65.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12"/>
    <w:bookmarkStart w:id="113" w:name="ref-Stone:2020aa"/>
    <w:p>
      <w:pPr>
        <w:pStyle w:val="Bibliography"/>
      </w:pPr>
      <w:r>
        <w:t xml:space="preserve">66.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13"/>
    <w:bookmarkStart w:id="114" w:name="ref-Li:2020aa"/>
    <w:p>
      <w:pPr>
        <w:pStyle w:val="Bibliography"/>
      </w:pPr>
      <w:r>
        <w:t xml:space="preserve">67.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 in 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5">
        <w:r>
          <w:rPr>
            <w:rStyle w:val="Hyperlink"/>
          </w:rPr>
          <w:t xml:space="preserve">https://github.com/ntustison/Histograms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2021-02-21T18:06:17Z</dcterms:created>
  <dcterms:modified xsi:type="dcterms:W3CDTF">2021-02-21T18:06:17Z</dcterms:modified>
</cp:coreProperties>
</file>