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 w:type="textWrapping"/>
      </w:r>
      <w:r>
        <w:t xml:space="preserve">Nicholas J. Tustison, DSc</w:t>
      </w:r>
      <w:r>
        <w:br w:type="textWrapping"/>
      </w:r>
      <w:r>
        <w:t xml:space="preserve">Department of Radiology and Medical Imaging</w:t>
      </w:r>
      <w:r>
        <w:br w:type="textWrapping"/>
      </w:r>
      <w:r>
        <w:t xml:space="preserve">University of Virginia</w:t>
      </w:r>
      <w:r>
        <w:br w:type="textWrapping"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historical-overview-of-quantification"/>
      <w:r>
        <w:t xml:space="preserve">Historical overview of quantification</w:t>
      </w:r>
      <w:bookmarkEnd w:id="23"/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(1–3)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pStyle w:val="Compact"/>
        <w:numPr>
          <w:numId w:val="1001"/>
          <w:ilvl w:val="0"/>
        </w:numPr>
      </w:pPr>
      <w:r>
        <w:t xml:space="preserve">binary thresholding based on relative intensities</w:t>
      </w:r>
      <w:r>
        <w:t xml:space="preserve"> </w:t>
      </w:r>
      <w:r>
        <w:t xml:space="preserve">(4, 5)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(6, 7)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(8, 9)</w:t>
      </w:r>
      <w:r>
        <w:t xml:space="preserve"> </w:t>
      </w:r>
      <w:r>
        <w:t xml:space="preserve">or adaptive</w:t>
      </w:r>
      <w:r>
        <w:t xml:space="preserve"> </w:t>
      </w:r>
      <w:r>
        <w:t xml:space="preserve">(10)</w:t>
      </w:r>
      <w:r>
        <w:t xml:space="preserve"> </w:t>
      </w:r>
      <w:r>
        <w:t xml:space="preserve">k-means algorithm,</w:t>
      </w:r>
    </w:p>
    <w:p>
      <w:pPr>
        <w:pStyle w:val="Compact"/>
        <w:numPr>
          <w:numId w:val="1001"/>
          <w:ilvl w:val="0"/>
        </w:numPr>
      </w:pPr>
      <w:r>
        <w:t xml:space="preserve">nonlinear intensity standardization using fuzzy c-means</w:t>
      </w:r>
      <w:r>
        <w:t xml:space="preserve"> </w:t>
      </w:r>
      <w:r>
        <w:t xml:space="preserve">(11)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(12)</w:t>
      </w:r>
      <w:r>
        <w:t xml:space="preserve">, and</w:t>
      </w:r>
    </w:p>
    <w:p>
      <w:pPr>
        <w:pStyle w:val="Compact"/>
        <w:numPr>
          <w:numId w:val="1001"/>
          <w:ilvl w:val="0"/>
        </w:numPr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(13)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(14)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(5)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(15, 16)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(17)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(18)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(18–22)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(21)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(23–25)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</w:t>
      </w:r>
      <w:r>
        <w:t xml:space="preserve">”</w:t>
      </w:r>
      <w:r>
        <w:t xml:space="preserve">, 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(18, 20)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tissues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(8, 26)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(27)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(28)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(29)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(12)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(13)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(30)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(32)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(33)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(17)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p>
      <w:pPr>
        <w:pStyle w:val="Heading2"/>
      </w:pPr>
      <w:bookmarkStart w:id="25" w:name="motivation-for-current-study"/>
      <w:r>
        <w:t xml:space="preserve">Motivation for current study</w:t>
      </w:r>
      <w:bookmarkEnd w:id="25"/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(34)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(35)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(36)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  <w:r>
        <w:rPr>
          <w:rStyle w:val="FootnoteReference"/>
        </w:rPr>
        <w:footnoteReference w:id="26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However, the aforementioned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(10, 37)</w:t>
      </w:r>
      <w:r>
        <w:t xml:space="preserve">) and bias which become increasingly</w:t>
      </w:r>
      <w:r>
        <w:t xml:space="preserve"> </w:t>
      </w:r>
      <w:r>
        <w:t xml:space="preserve">significant with multi-site</w:t>
      </w:r>
      <w:r>
        <w:t xml:space="preserve"> </w:t>
      </w:r>
      <w:r>
        <w:t xml:space="preserve">(38)</w:t>
      </w:r>
      <w:r>
        <w:t xml:space="preserve"> </w:t>
      </w:r>
      <w:r>
        <w:t xml:space="preserve">and large-scale studies. In addition, generally</w:t>
      </w:r>
      <w:r>
        <w:t xml:space="preserve"> </w:t>
      </w:r>
      <w:r>
        <w:t xml:space="preserve">speaking, refinements in measuring capabilities correlate with scientific</w:t>
      </w:r>
      <w:r>
        <w:t xml:space="preserve"> </w:t>
      </w:r>
      <w:r>
        <w:t xml:space="preserve">advancement so as acquisition and analysis methodologies improve, so should the</w:t>
      </w:r>
      <w:r>
        <w:t xml:space="preserve"> </w:t>
      </w:r>
      <w:r>
        <w:t xml:space="preserve">level of 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(39)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(40)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(41)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(42)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(43)</w:t>
      </w:r>
      <w:r>
        <w:t xml:space="preserve">.</w:t>
      </w:r>
    </w:p>
    <w:p>
      <w:pPr>
        <w:pStyle w:val="Heading1"/>
      </w:pPr>
      <w:bookmarkStart w:id="27" w:name="materials-and-methods"/>
      <w:r>
        <w:t xml:space="preserve">Materials and methods</w:t>
      </w:r>
      <w:bookmarkEnd w:id="27"/>
    </w:p>
    <w:p>
      <w:pPr>
        <w:pStyle w:val="Heading2"/>
      </w:pPr>
      <w:bookmarkStart w:id="28" w:name="hyperpolarized-gas-imaging-acquisition"/>
      <w:r>
        <w:t xml:space="preserve">Hyperpolarized gas imaging acquisition</w:t>
      </w:r>
      <w:bookmarkEnd w:id="28"/>
    </w:p>
    <w:p>
      <w:pPr>
        <w:pStyle w:val="Heading3"/>
      </w:pPr>
      <w:bookmarkStart w:id="29" w:name="university-of-virginia-cohort"/>
      <w:r>
        <w:t xml:space="preserve">University of Virginia cohort</w:t>
      </w:r>
      <w:bookmarkEnd w:id="29"/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p>
      <w:pPr>
        <w:pStyle w:val="Heading3"/>
      </w:pPr>
      <w:bookmarkStart w:id="30" w:name="he-2019-harvard-dataverse-cohort"/>
      <w:r>
        <w:t xml:space="preserve">He 2019 Harvard Dataverse cohort</w:t>
      </w:r>
      <w:bookmarkEnd w:id="30"/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(35)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(34)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p>
      <w:pPr>
        <w:pStyle w:val="Heading2"/>
      </w:pPr>
      <w:bookmarkStart w:id="31" w:name="algorithmic-implementations"/>
      <w:r>
        <w:t xml:space="preserve">Algorithmic implementations</w:t>
      </w:r>
      <w:bookmarkEnd w:id="31"/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 linear binning</w:t>
      </w:r>
      <w:r>
        <w:t xml:space="preserve"> </w:t>
      </w:r>
      <w:r>
        <w:t xml:space="preserve">(6)</w:t>
      </w:r>
      <w:r>
        <w:t xml:space="preserve">, hierarchical k-means</w:t>
      </w:r>
      <w:r>
        <w:t xml:space="preserve"> </w:t>
      </w:r>
      <w:r>
        <w:t xml:space="preserve">(8)</w:t>
      </w:r>
      <w:r>
        <w:t xml:space="preserve">, fuzzy spatial c-means</w:t>
      </w:r>
      <w:r>
        <w:t xml:space="preserve"> </w:t>
      </w:r>
      <w:r>
        <w:t xml:space="preserve">(12)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(13)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(42)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(44)</w:t>
      </w:r>
      <w:r>
        <w:t xml:space="preserve">. In designing the evaluation study:</w:t>
      </w:r>
    </w:p>
    <w:p>
      <w:pPr>
        <w:numPr>
          <w:numId w:val="1002"/>
          <w:ilvl w:val="0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numId w:val="1002"/>
          <w:ilvl w:val="0"/>
        </w:numPr>
      </w:pPr>
      <w:r>
        <w:t xml:space="preserve">The imaging data used for the evaluation is available upon request and through</w:t>
      </w:r>
      <w:r>
        <w:t xml:space="preserve"> </w:t>
      </w:r>
      <w:r>
        <w:t xml:space="preserve">a data sharing agreement. All other data, including additional evaluation</w:t>
      </w:r>
      <w:r>
        <w:t xml:space="preserve"> </w:t>
      </w:r>
      <w:r>
        <w:t xml:space="preserve">plots are available, in the previously specified GitHub repository.</w:t>
      </w:r>
    </w:p>
    <w:p>
      <w:pPr>
        <w:numPr>
          <w:numId w:val="1002"/>
          <w:ilvl w:val="0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numId w:val="1002"/>
          <w:ilvl w:val="0"/>
        </w:numPr>
      </w:pPr>
      <w:r>
        <w:t xml:space="preserve">One important issue was whether or not to use the N4 bias correction algorithm</w:t>
      </w:r>
      <w:r>
        <w:t xml:space="preserve"> </w:t>
      </w:r>
      <w:r>
        <w:t xml:space="preserve">as a preprocessing step. We ultimately decided to include it for two</w:t>
      </w:r>
      <w:r>
        <w:t xml:space="preserve"> </w:t>
      </w:r>
      <w:r>
        <w:t xml:space="preserve">reasons. First, it is explicitly used in multiple algorithms (e.g.,</w:t>
      </w:r>
      <w:r>
        <w:t xml:space="preserve"> </w:t>
      </w:r>
      <w:r>
        <w:t xml:space="preserve">(5, 6, 10, 13, 45)</w:t>
      </w:r>
      <w:r>
        <w:t xml:space="preserve">) despite the issues raised</w:t>
      </w:r>
      <w:r>
        <w:t xml:space="preserve"> </w:t>
      </w:r>
      <w:r>
        <w:t xml:space="preserve">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Another practical consideration for N4 preprocessing</w:t>
      </w:r>
      <w:r>
        <w:t xml:space="preserve"> </w:t>
      </w:r>
      <w:r>
        <w:t xml:space="preserve">was due to the parameters of the reference distribution required by the linear binning</w:t>
      </w:r>
      <w:r>
        <w:t xml:space="preserve"> </w:t>
      </w:r>
      <w:r>
        <w:t xml:space="preserve">algorithm. Additional details are provided in the Results section.</w:t>
      </w:r>
    </w:p>
    <w:p>
      <w:pPr>
        <w:pStyle w:val="Heading2"/>
      </w:pPr>
      <w:bookmarkStart w:id="36" w:name="introduction-of-el-bicho"/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  <w:bookmarkEnd w:id="36"/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(42)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(46)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(47)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(48)</w:t>
      </w:r>
      <w:r>
        <w:t xml:space="preserve">, and a novel data augmentation</w:t>
      </w:r>
      <w:r>
        <w:t xml:space="preserve"> </w:t>
      </w:r>
      <w:r>
        <w:t xml:space="preserve">strategy.</w:t>
      </w:r>
    </w:p>
    <w:p>
      <w:pPr>
        <w:pStyle w:val="Heading3"/>
      </w:pPr>
      <w:bookmarkStart w:id="37" w:name="network-training"/>
      <w:r>
        <w:t xml:space="preserve">Network training</w:t>
      </w:r>
      <w:bookmarkEnd w:id="37"/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(48)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(49)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(13)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p>
      <w:pPr>
        <w:pStyle w:val="Heading3"/>
      </w:pPr>
      <w:bookmarkStart w:id="38" w:name="pipeline-processing"/>
      <w:r>
        <w:t xml:space="preserve">Pipeline processing</w:t>
      </w:r>
      <w:bookmarkEnd w:id="38"/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p>
      <w:pPr>
        <w:pStyle w:val="Heading1"/>
      </w:pPr>
      <w:bookmarkStart w:id="39" w:name="results"/>
      <w:r>
        <w:t xml:space="preserve">Results</w:t>
      </w:r>
      <w:bookmarkEnd w:id="39"/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(50)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(51)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40"/>
      </w:r>
    </w:p>
    <w:p>
      <w:pPr>
        <w:numPr>
          <w:numId w:val="1003"/>
          <w:ilvl w:val="0"/>
        </w:numPr>
      </w:pPr>
      <w:r>
        <w:t xml:space="preserve">Global algorithmic bias (in the absence of ground truth)</w:t>
      </w:r>
    </w:p>
    <w:p>
      <w:pPr>
        <w:pStyle w:val="Compact"/>
        <w:numPr>
          <w:numId w:val="1004"/>
          <w:ilvl w:val="1"/>
        </w:numPr>
      </w:pPr>
      <w:r>
        <w:t xml:space="preserve">Diagnostic prediction</w:t>
      </w:r>
    </w:p>
    <w:p>
      <w:pPr>
        <w:numPr>
          <w:numId w:val="1003"/>
          <w:ilvl w:val="0"/>
        </w:numPr>
      </w:pPr>
      <w:r>
        <w:t xml:space="preserve">Voxelwise algorithmic precision</w:t>
      </w:r>
    </w:p>
    <w:p>
      <w:pPr>
        <w:pStyle w:val="Compact"/>
        <w:numPr>
          <w:numId w:val="1005"/>
          <w:ilvl w:val="1"/>
        </w:numPr>
      </w:pPr>
      <w:r>
        <w:t xml:space="preserve">Three-tissue T1-weighted brain MRI segmentation (qualitative analog)</w:t>
      </w:r>
    </w:p>
    <w:p>
      <w:pPr>
        <w:pStyle w:val="Compact"/>
        <w:numPr>
          <w:numId w:val="1005"/>
          <w:ilvl w:val="1"/>
        </w:numPr>
      </w:pPr>
      <w:r>
        <w:t xml:space="preserve">Input/output variance based on reference distribution (linear binning only)</w:t>
      </w:r>
    </w:p>
    <w:p>
      <w:pPr>
        <w:pStyle w:val="Compact"/>
        <w:numPr>
          <w:numId w:val="1005"/>
          <w:ilvl w:val="1"/>
        </w:numPr>
      </w:pPr>
      <w:r>
        <w:t xml:space="preserve">Effects of simulated MR artefacts on multi-site data</w:t>
      </w:r>
    </w:p>
    <w:p>
      <w:pPr>
        <w:pStyle w:val="Heading2"/>
      </w:pPr>
      <w:bookmarkStart w:id="41" w:name="diagnostic-prediction"/>
      <w:r>
        <w:t xml:space="preserve">Diagnostic prediction</w:t>
      </w:r>
      <w:bookmarkEnd w:id="41"/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(43, 52)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COPD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(45, 53, 54)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(51)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(55)</w:t>
      </w:r>
      <w:r>
        <w:t xml:space="preserve">.</w:t>
      </w:r>
    </w:p>
    <w:p>
      <w:pPr>
        <w:pStyle w:val="Heading2"/>
      </w:pPr>
      <w:bookmarkStart w:id="42" w:name="t1-weighted-brain-segmentation-analogy"/>
      <w:r>
        <w:t xml:space="preserve">T1-weighted brain segmentation analogy</w:t>
      </w:r>
      <w:bookmarkEnd w:id="42"/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(56–58)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(59, 60)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(61)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p>
      <w:pPr>
        <w:pStyle w:val="Heading2"/>
      </w:pPr>
      <w:bookmarkStart w:id="43" w:name="effect-of-reference-image-set-selection"/>
      <w:r>
        <w:t xml:space="preserve">Effect of reference image set selection</w:t>
      </w:r>
      <w:bookmarkEnd w:id="43"/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(6)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(i.e., ventilation defect)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(6)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(34)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p>
      <w:pPr>
        <w:pStyle w:val="Heading2"/>
      </w:pPr>
      <w:bookmarkStart w:id="44" w:name="effects-of-mr-based-simulated-image-distortions"/>
      <w:r>
        <w:t xml:space="preserve">Effects of MR-based simulated image distortions</w:t>
      </w:r>
      <w:bookmarkEnd w:id="44"/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p>
      <w:pPr>
        <w:pStyle w:val="Heading1"/>
      </w:pPr>
      <w:bookmarkStart w:id="45" w:name="discussion"/>
      <w:r>
        <w:t xml:space="preserve">Discussion</w:t>
      </w:r>
      <w:bookmarkEnd w:id="45"/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numId w:val="1006"/>
          <w:ilvl w:val="0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numId w:val="1006"/>
          <w:ilvl w:val="0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numId w:val="1006"/>
          <w:ilvl w:val="0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numId w:val="1006"/>
          <w:ilvl w:val="0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(62)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(63)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(42)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(64)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p>
      <w:r>
        <w:br w:type="page"/>
      </w:r>
    </w:p>
    <w:p>
      <w:pPr>
        <w:pStyle w:val="Heading1"/>
      </w:pPr>
      <w:bookmarkStart w:id="46" w:name="references"/>
      <w:r>
        <w:t xml:space="preserve">References</w:t>
      </w:r>
      <w:bookmarkEnd w:id="46"/>
    </w:p>
    <w:bookmarkStart w:id="111" w:name="refs"/>
    <w:bookmarkStart w:id="47" w:name="ref-Lange:1999aa"/>
    <w:p>
      <w:pPr>
        <w:pStyle w:val="Bibliography"/>
      </w:pPr>
      <w:r>
        <w:t xml:space="preserve">1.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47"/>
    <w:bookmarkStart w:id="48" w:name="ref-Altes:2001aa"/>
    <w:p>
      <w:pPr>
        <w:pStyle w:val="Bibliography"/>
      </w:pPr>
      <w:r>
        <w:t xml:space="preserve">2. Altes TA, Powers PL, Knight-Scott J, et al.: Hyperpolarized 3He MR 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48"/>
    <w:bookmarkStart w:id="49" w:name="ref-Samee:2003aa"/>
    <w:p>
      <w:pPr>
        <w:pStyle w:val="Bibliography"/>
      </w:pPr>
      <w:r>
        <w:t xml:space="preserve">3.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49"/>
    <w:bookmarkStart w:id="50" w:name="ref-Woodhouse:2005aa"/>
    <w:p>
      <w:pPr>
        <w:pStyle w:val="Bibliography"/>
      </w:pPr>
      <w:r>
        <w:t xml:space="preserve">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50"/>
    <w:bookmarkStart w:id="51" w:name="ref-Shammi:2021aa"/>
    <w:p>
      <w:pPr>
        <w:pStyle w:val="Bibliography"/>
      </w:pPr>
      <w:r>
        <w:t xml:space="preserve">5. Shammi UA, D’Alessandro MF, Altes T, et al.: Comparison of hyperpolarized 3He and 129Xe MR 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51"/>
    <w:bookmarkStart w:id="52" w:name="ref-He:2016aa"/>
    <w:p>
      <w:pPr>
        <w:pStyle w:val="Bibliography"/>
      </w:pPr>
      <w:r>
        <w:t xml:space="preserve">6. He M, Driehuys B, Que LG, Huang Y-CT: Using hyperpolarized 129Xe MRI 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52"/>
    <w:bookmarkStart w:id="53" w:name="ref-He:2020aa"/>
    <w:p>
      <w:pPr>
        <w:pStyle w:val="Bibliography"/>
      </w:pPr>
      <w:r>
        <w:t xml:space="preserve">7. He M, Wang Z, Rankine L, et al.: Generalized linear binning to compare hyperpolarized 129Xe ventilation maps derived from 3D 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53"/>
    <w:bookmarkStart w:id="54" w:name="ref-Kirby:2012aa"/>
    <w:p>
      <w:pPr>
        <w:pStyle w:val="Bibliography"/>
      </w:pPr>
      <w:r>
        <w:t xml:space="preserve">8. Kirby M, Heydarian M, Svenningsen S, et al.: Hyperpolarized 3He 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54"/>
    <w:bookmarkStart w:id="55" w:name="ref-Kirby:2012ab"/>
    <w:p>
      <w:pPr>
        <w:pStyle w:val="Bibliography"/>
      </w:pPr>
      <w:r>
        <w:t xml:space="preserve">9. Kirby M, Svenningsen S, Owrangi A, et al.: Hyperpolarized 3He and 129Xe MR 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55"/>
    <w:bookmarkStart w:id="56" w:name="ref-Zha:2016aa"/>
    <w:p>
      <w:pPr>
        <w:pStyle w:val="Bibliography"/>
      </w:pPr>
      <w:r>
        <w:t xml:space="preserve">10.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6"/>
    <w:bookmarkStart w:id="57" w:name="ref-Ray:2003aa"/>
    <w:p>
      <w:pPr>
        <w:pStyle w:val="Bibliography"/>
      </w:pPr>
      <w:r>
        <w:t xml:space="preserve">11.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57"/>
    <w:bookmarkStart w:id="58" w:name="ref-Hughes:2018aa"/>
    <w:p>
      <w:pPr>
        <w:pStyle w:val="Bibliography"/>
      </w:pPr>
      <w:r>
        <w:t xml:space="preserve">12.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8"/>
    <w:bookmarkStart w:id="59" w:name="ref-Tustison:2011aa"/>
    <w:p>
      <w:pPr>
        <w:pStyle w:val="Bibliography"/>
      </w:pPr>
      <w:r>
        <w:t xml:space="preserve">13. Tustison NJ, Avants BB, Flors L, et al.: Ventilation-based segmentation of the lungs using hyperpolarized (3)He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59"/>
    <w:bookmarkStart w:id="60" w:name="ref-Thomen:2015aa"/>
    <w:p>
      <w:pPr>
        <w:pStyle w:val="Bibliography"/>
      </w:pPr>
      <w:r>
        <w:t xml:space="preserve">14. Thomen RP, Sheshadri A, Quirk JD, et al.: Regional ventilation changes in severe asthma after bronchial thermoplasty with (3)He MR imaging and CT.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60"/>
    <w:bookmarkStart w:id="61" w:name="ref-Gudbjartsson:1995aa"/>
    <w:p>
      <w:pPr>
        <w:pStyle w:val="Bibliography"/>
      </w:pPr>
      <w:r>
        <w:t xml:space="preserve">15. Gudbjartsson H, Patz S: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61"/>
    <w:bookmarkStart w:id="62" w:name="ref-Andersen:1996aa"/>
    <w:p>
      <w:pPr>
        <w:pStyle w:val="Bibliography"/>
      </w:pPr>
      <w:r>
        <w:t xml:space="preserve">16. Andersen AH: On the Rician distribution of noisy MRI 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62"/>
    <w:bookmarkStart w:id="63" w:name="ref-Sled:1998aa"/>
    <w:p>
      <w:pPr>
        <w:pStyle w:val="Bibliography"/>
      </w:pPr>
      <w:r>
        <w:t xml:space="preserve">17. Sled JG, Zijdenbos AP, Evans AC: A nonparametric method for automatic correction of intensity nonuniformity in MRI 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63"/>
    <w:bookmarkStart w:id="64" w:name="ref-Nyul:1999aa"/>
    <w:p>
      <w:pPr>
        <w:pStyle w:val="Bibliography"/>
      </w:pPr>
      <w:r>
        <w:t xml:space="preserve">18. Nyúl LG, Udupa JK: On standardizing the MR 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64"/>
    <w:bookmarkStart w:id="65" w:name="ref-Wendt:1994aa"/>
    <w:p>
      <w:pPr>
        <w:pStyle w:val="Bibliography"/>
      </w:pPr>
      <w:r>
        <w:t xml:space="preserve">19.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65"/>
    <w:bookmarkStart w:id="66" w:name="ref-Nyul:2000aa"/>
    <w:p>
      <w:pPr>
        <w:pStyle w:val="Bibliography"/>
      </w:pPr>
      <w:r>
        <w:t xml:space="preserve">20. Nyúl LG, Udupa JK, Zhang X: New variants of a method of MRI 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66"/>
    <w:bookmarkStart w:id="67" w:name="ref-Collewet:2004aa"/>
    <w:p>
      <w:pPr>
        <w:pStyle w:val="Bibliography"/>
      </w:pPr>
      <w:r>
        <w:t xml:space="preserve">21. Collewet G, Strzelecki M, Mariette F: Influence of MRI 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67"/>
    <w:bookmarkStart w:id="68" w:name="ref-De-Nunzio:2015aa"/>
    <w:p>
      <w:pPr>
        <w:pStyle w:val="Bibliography"/>
      </w:pPr>
      <w:r>
        <w:t xml:space="preserve">22.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68"/>
    <w:bookmarkStart w:id="69" w:name="ref-Zhang:2001aa"/>
    <w:p>
      <w:pPr>
        <w:pStyle w:val="Bibliography"/>
      </w:pPr>
      <w:r>
        <w:t xml:space="preserve">23. Zhang Y, Brady M, Smith S: Segmentation of brain MR images through a hidden Markov 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69"/>
    <w:bookmarkStart w:id="70" w:name="ref-Ashburner:2005aa"/>
    <w:p>
      <w:pPr>
        <w:pStyle w:val="Bibliography"/>
      </w:pPr>
      <w:r>
        <w:t xml:space="preserve">24.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70"/>
    <w:bookmarkStart w:id="71" w:name="ref-Avants:2011aa"/>
    <w:p>
      <w:pPr>
        <w:pStyle w:val="Bibliography"/>
      </w:pPr>
      <w:r>
        <w:t xml:space="preserve">25.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71"/>
    <w:bookmarkStart w:id="72" w:name="ref-Cooley:2010aa"/>
    <w:p>
      <w:pPr>
        <w:pStyle w:val="Bibliography"/>
      </w:pPr>
      <w:r>
        <w:t xml:space="preserve">26. Cooley B, Acton S, Salemo M, et al.: Automated scoring of hyperpolarized helium-3 MR 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2"/>
    <w:bookmarkStart w:id="73" w:name="ref-Hartigan:1979aa"/>
    <w:p>
      <w:pPr>
        <w:pStyle w:val="Bibliography"/>
      </w:pPr>
      <w:r>
        <w:t xml:space="preserve">27.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73"/>
    <w:bookmarkStart w:id="74" w:name="ref-Bezdek:1981aa"/>
    <w:p>
      <w:pPr>
        <w:pStyle w:val="Bibliography"/>
      </w:pPr>
      <w:r>
        <w:t xml:space="preserve">28.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74"/>
    <w:bookmarkStart w:id="75" w:name="ref-Chuang:2006aa"/>
    <w:p>
      <w:pPr>
        <w:pStyle w:val="Bibliography"/>
      </w:pPr>
      <w:r>
        <w:t xml:space="preserve">29.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75"/>
    <w:bookmarkStart w:id="76" w:name="ref-Vannier:1985aa"/>
    <w:p>
      <w:pPr>
        <w:pStyle w:val="Bibliography"/>
      </w:pPr>
      <w:r>
        <w:t xml:space="preserve">30.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76"/>
    <w:bookmarkStart w:id="77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7"/>
    <w:bookmarkStart w:id="78" w:name="ref-Dempster:1977aa"/>
    <w:p>
      <w:pPr>
        <w:pStyle w:val="Bibliography"/>
      </w:pPr>
      <w:r>
        <w:t xml:space="preserve">32. Dempster AP, Laird NM, Rubin DB: Maximum likelihood from incomplete data via the EM 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8"/>
    <w:bookmarkStart w:id="79" w:name="ref-Tustison:2010ac"/>
    <w:p>
      <w:pPr>
        <w:pStyle w:val="Bibliography"/>
      </w:pPr>
      <w:r>
        <w:t xml:space="preserve">33. Tustison NJ, Avants BB, Cook PA, et al.: N4ITK: Improved N3 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79"/>
    <w:bookmarkStart w:id="80" w:name="ref-He:2019aa"/>
    <w:p>
      <w:pPr>
        <w:pStyle w:val="Bibliography"/>
      </w:pPr>
      <w:r>
        <w:t xml:space="preserve">34.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80"/>
    <w:bookmarkStart w:id="81" w:name="ref-He_dataverse:2018"/>
    <w:p>
      <w:pPr>
        <w:pStyle w:val="Bibliography"/>
      </w:pPr>
      <w:r>
        <w:t xml:space="preserve">35. He M, Zha W, Tan F, Rankine L, Fain S, Driehuys B: SNR-degraded 129Xe ventilation MRI for the comparison of quantification methods. 2018.</w:t>
      </w:r>
    </w:p>
    <w:bookmarkEnd w:id="81"/>
    <w:bookmarkStart w:id="82" w:name="ref-Wang:2004aa"/>
    <w:p>
      <w:pPr>
        <w:pStyle w:val="Bibliography"/>
      </w:pPr>
      <w:r>
        <w:t xml:space="preserve">36.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82"/>
    <w:bookmarkStart w:id="83" w:name="ref-Svenningsen:2020aa"/>
    <w:p>
      <w:pPr>
        <w:pStyle w:val="Bibliography"/>
      </w:pPr>
      <w:r>
        <w:t xml:space="preserve">37. Svenningsen S, McIntosh M, Ouriadov A, et al.: Reproducibility of hyperpolarized 129Xe MRI 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83"/>
    <w:bookmarkStart w:id="84" w:name="ref-Couch:2019aa"/>
    <w:p>
      <w:pPr>
        <w:pStyle w:val="Bibliography"/>
      </w:pPr>
      <w:r>
        <w:t xml:space="preserve">38. Couch MJ, Thomen R, Kanhere N, et al.: A two-center analysis of hyperpolarized 129Xe lung MRI 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84"/>
    <w:bookmarkStart w:id="85" w:name="ref-LeCun:2015aa"/>
    <w:p>
      <w:pPr>
        <w:pStyle w:val="Bibliography"/>
      </w:pPr>
      <w:r>
        <w:t xml:space="preserve">39.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85"/>
    <w:bookmarkStart w:id="86" w:name="ref-Shen:2017aa"/>
    <w:p>
      <w:pPr>
        <w:pStyle w:val="Bibliography"/>
      </w:pPr>
      <w:r>
        <w:t xml:space="preserve">40.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86"/>
    <w:bookmarkStart w:id="87" w:name="ref-Zhang:2018aa"/>
    <w:p>
      <w:pPr>
        <w:pStyle w:val="Bibliography"/>
      </w:pPr>
      <w:r>
        <w:t xml:space="preserve">41.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87"/>
    <w:bookmarkStart w:id="88" w:name="ref-Tustison:2019ac"/>
    <w:p>
      <w:pPr>
        <w:pStyle w:val="Bibliography"/>
      </w:pPr>
      <w:r>
        <w:t xml:space="preserve">42.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88"/>
    <w:bookmarkStart w:id="89" w:name="ref-Tustison:2020aa"/>
    <w:p>
      <w:pPr>
        <w:pStyle w:val="Bibliography"/>
      </w:pPr>
      <w:r>
        <w:t xml:space="preserve">43.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9"/>
    <w:bookmarkStart w:id="90" w:name="ref-Tustison:2013aa"/>
    <w:p>
      <w:pPr>
        <w:pStyle w:val="Bibliography"/>
      </w:pPr>
      <w:r>
        <w:t xml:space="preserve">44.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90"/>
    <w:bookmarkStart w:id="91" w:name="ref-Santyr:2019aa"/>
    <w:p>
      <w:pPr>
        <w:pStyle w:val="Bibliography"/>
      </w:pPr>
      <w:r>
        <w:t xml:space="preserve">45.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91"/>
    <w:bookmarkStart w:id="92" w:name="ref-Schlemper:2019aa"/>
    <w:p>
      <w:pPr>
        <w:pStyle w:val="Bibliography"/>
      </w:pPr>
      <w:r>
        <w:t xml:space="preserve">46.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92"/>
    <w:bookmarkStart w:id="93" w:name="ref-Falk:2019aa"/>
    <w:p>
      <w:pPr>
        <w:pStyle w:val="Bibliography"/>
      </w:pPr>
      <w:r>
        <w:t xml:space="preserve">47.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93"/>
    <w:bookmarkStart w:id="94" w:name="ref-Isensee:2020aa"/>
    <w:p>
      <w:pPr>
        <w:pStyle w:val="Bibliography"/>
      </w:pPr>
      <w:r>
        <w:t xml:space="preserve">48. Isensee F, Jaeger PF, Kohl SAA, Petersen J, Maier-Hein KH: nnU-Net: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94"/>
    <w:bookmarkStart w:id="95" w:name="ref-Crum:2006aa"/>
    <w:p>
      <w:pPr>
        <w:pStyle w:val="Bibliography"/>
      </w:pPr>
      <w:r>
        <w:t xml:space="preserve">49.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95"/>
    <w:bookmarkStart w:id="96" w:name="ref-Warfield:2004aa"/>
    <w:p>
      <w:pPr>
        <w:pStyle w:val="Bibliography"/>
      </w:pPr>
      <w:r>
        <w:t xml:space="preserve">50. Warfield SK, Zou KH, Wells WM: Simultaneous truth and performance level estimation (STAPLE):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96"/>
    <w:bookmarkStart w:id="97" w:name="ref-Breiman:2001aa"/>
    <w:p>
      <w:pPr>
        <w:pStyle w:val="Bibliography"/>
      </w:pPr>
      <w:r>
        <w:t xml:space="preserve">51.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97"/>
    <w:bookmarkStart w:id="98" w:name="ref-Tustison:2014ab"/>
    <w:p>
      <w:pPr>
        <w:pStyle w:val="Bibliography"/>
      </w:pPr>
      <w:r>
        <w:t xml:space="preserve">52. Tustison NJ, Cook PA, Klein A, et al.: 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98"/>
    <w:bookmarkStart w:id="99" w:name="ref-Myc:2020aa"/>
    <w:p>
      <w:pPr>
        <w:pStyle w:val="Bibliography"/>
      </w:pPr>
      <w:r>
        <w:t xml:space="preserve">53. Myc L, Qing K, He M, et al.: Characterisation of gas exchange in COPD with dissolved-phase hyperpolarised xenon-129 MRI.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99"/>
    <w:bookmarkStart w:id="100" w:name="ref-Mammarappallil:2019aa"/>
    <w:p>
      <w:pPr>
        <w:pStyle w:val="Bibliography"/>
      </w:pPr>
      <w:r>
        <w:t xml:space="preserve">54.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100"/>
    <w:bookmarkStart w:id="101" w:name="ref-Badnjevic:2018aa"/>
    <w:p>
      <w:pPr>
        <w:pStyle w:val="Bibliography"/>
      </w:pPr>
      <w:r>
        <w:t xml:space="preserve">55.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101"/>
    <w:bookmarkStart w:id="102" w:name="ref-Bezdek:1993aa"/>
    <w:p>
      <w:pPr>
        <w:pStyle w:val="Bibliography"/>
      </w:pPr>
      <w:r>
        <w:t xml:space="preserve">56. Bezdek JC, Hall LO, Clarke LP: Review of MR 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; 20:1033–48.</w:t>
      </w:r>
    </w:p>
    <w:bookmarkEnd w:id="102"/>
    <w:bookmarkStart w:id="103" w:name="ref-Pham:2000aa"/>
    <w:p>
      <w:pPr>
        <w:pStyle w:val="Bibliography"/>
      </w:pPr>
      <w:r>
        <w:t xml:space="preserve">57.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103"/>
    <w:bookmarkStart w:id="104" w:name="ref-Despotovic:2015aa"/>
    <w:p>
      <w:pPr>
        <w:pStyle w:val="Bibliography"/>
      </w:pPr>
      <w:r>
        <w:t xml:space="preserve">58.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104"/>
    <w:bookmarkStart w:id="105" w:name="ref-Cuadra:2005aa"/>
    <w:p>
      <w:pPr>
        <w:pStyle w:val="Bibliography"/>
      </w:pPr>
      <w:r>
        <w:t xml:space="preserve">59. Cuadra MB, Cammoun L, Butz T, Cuisenaire O, Thiran J-P: Comparison and validation of tissue modelization and statistical classification methods in T1-weighted MR 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105"/>
    <w:bookmarkStart w:id="106" w:name="ref-Boer:2010aa"/>
    <w:p>
      <w:pPr>
        <w:pStyle w:val="Bibliography"/>
      </w:pPr>
      <w:r>
        <w:t xml:space="preserve">60.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106"/>
    <w:bookmarkStart w:id="107" w:name="ref-srpb"/>
    <w:p>
      <w:pPr>
        <w:pStyle w:val="Bibliography"/>
      </w:pPr>
      <w:r>
        <w:t xml:space="preserve">61. https://bicr-resource.atr.jp/srpbs1600/..</w:t>
      </w:r>
    </w:p>
    <w:bookmarkEnd w:id="107"/>
    <w:bookmarkStart w:id="108" w:name="ref-Wolpert:1997aa"/>
    <w:p>
      <w:pPr>
        <w:pStyle w:val="Bibliography"/>
      </w:pPr>
      <w:r>
        <w:t xml:space="preserve">62.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108"/>
    <w:bookmarkStart w:id="109" w:name="ref-Stone:2020aa"/>
    <w:p>
      <w:pPr>
        <w:pStyle w:val="Bibliography"/>
      </w:pPr>
      <w:r>
        <w:t xml:space="preserve">63.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109"/>
    <w:bookmarkStart w:id="110" w:name="ref-Li:2020aa"/>
    <w:p>
      <w:pPr>
        <w:pStyle w:val="Bibliography"/>
      </w:pPr>
      <w:r>
        <w:t xml:space="preserve">64.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>
        <w:r>
          <w:rPr>
            <w:rStyle w:val="Hyperlink"/>
          </w:rPr>
          <w:t xml:space="preserve">https://github.com/ntustison/Histograms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developer of N4 and Atropos) and co-author Dr. Talissa Altes.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2021-02-23T18:32:24Z</dcterms:created>
  <dcterms:modified xsi:type="dcterms:W3CDTF">2021-02-23T18:32:24Z</dcterms:modified>
</cp:coreProperties>
</file>