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Magnetic resonance imaging (MRI) using hyperpolarized gases has made possible the</w:t>
      </w:r>
      <w:r>
        <w:t xml:space="preserve"> </w:t>
      </w:r>
      <w:r>
        <w:t xml:space="preserve">novel visualization of airspaces in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 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5" w:name="introduction"/>
    <w:p>
      <w:pPr>
        <w:pStyle w:val="Heading1"/>
      </w:pPr>
      <w:r>
        <w:t xml:space="preserve">Introduction</w:t>
      </w:r>
    </w:p>
    <w:bookmarkStart w:id="23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(35, 61, 62)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(42, 55)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(53, 54)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(34, 52)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(8)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(7)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(64)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(55)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(33)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(42)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(43, 44)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(60)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(51)</w:t>
      </w:r>
      <w:r>
        <w:t xml:space="preserve"> </w:t>
      </w:r>
      <w:r>
        <w:t xml:space="preserve">in which images from healthy controls are normalized to</w:t>
      </w:r>
      <w:r>
        <w:t xml:space="preserve"> </w:t>
      </w:r>
      <w:r>
        <w:t xml:space="preserve">the range [0, 1] and then used to calculate the cluster intensity boundary values, based on an</w:t>
      </w:r>
      <w:r>
        <w:t xml:space="preserve"> </w:t>
      </w:r>
      <w:r>
        <w:t xml:space="preserve">aggregated estimate of the parameters of a single Gaussian fit. Subject images</w:t>
      </w:r>
      <w:r>
        <w:t xml:space="preserve"> </w:t>
      </w:r>
      <w:r>
        <w:t xml:space="preserve">to be segmented are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(47–51)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(47)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(45, 46, 59)</w:t>
      </w:r>
      <w:r>
        <w:t xml:space="preserve">). Here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control,</w:t>
      </w:r>
      <w:r>
        <w:t xml:space="preserve">”</w:t>
      </w:r>
      <w:r>
        <w:t xml:space="preserve"> </w:t>
      </w:r>
      <w:r>
        <w:t xml:space="preserve">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(50, 51)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</w:t>
      </w:r>
      <w:r>
        <w:t xml:space="preserve"> </w:t>
      </w:r>
      <w:r>
        <w:t xml:space="preserve">Additionally, because of the functional nature of these images, the segmentation</w:t>
      </w:r>
      <w:r>
        <w:t xml:space="preserve"> </w:t>
      </w:r>
      <w:r>
        <w:t xml:space="preserve">clusters that correspond to features of interest are not necessarily guaranteed</w:t>
      </w:r>
      <w:r>
        <w:t xml:space="preserve"> </w:t>
      </w:r>
      <w:r>
        <w:t xml:space="preserve">to exist (e.g., ventilation defects in the case of healthy normal subjects with</w:t>
      </w:r>
      <w:r>
        <w:t xml:space="preserve"> </w:t>
      </w:r>
      <w:r>
        <w:t xml:space="preserve">no lung pathology).</w:t>
      </w:r>
    </w:p>
    <w:p>
      <w:pPr>
        <w:pStyle w:val="BodyText"/>
      </w:pPr>
      <w:r>
        <w:t xml:space="preserve">The approach used by some groups</w:t>
      </w:r>
      <w:r>
        <w:t xml:space="preserve"> </w:t>
      </w:r>
      <w:r>
        <w:t xml:space="preserve">(26, 52)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(41)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(6)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(5)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3He and 129Xe images in</w:t>
      </w:r>
      <w:r>
        <w:t xml:space="preserve"> </w:t>
      </w:r>
      <w:r>
        <w:t xml:space="preserve">(7)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(64)</w:t>
      </w:r>
      <w:r>
        <w:t xml:space="preserve">. This algorithm is</w:t>
      </w:r>
      <w:r>
        <w:t xml:space="preserve"> </w:t>
      </w:r>
      <w:r>
        <w:t xml:space="preserve">based on a well-established iterative approach originally used for NASA</w:t>
      </w:r>
      <w:r>
        <w:t xml:space="preserve"> </w:t>
      </w:r>
      <w:r>
        <w:t xml:space="preserve">satellite image processing and subsequently appropriated for brain tissue</w:t>
      </w:r>
      <w:r>
        <w:t xml:space="preserve"> </w:t>
      </w:r>
      <w:r>
        <w:t xml:space="preserve">segmentation in</w:t>
      </w:r>
      <w:r>
        <w:t xml:space="preserve"> </w:t>
      </w:r>
      <w:r>
        <w:t xml:space="preserve">(40)</w:t>
      </w:r>
      <w:r>
        <w:t xml:space="preserve">. A Gaussian mixture model (GMM) is used to</w:t>
      </w:r>
      <w:r>
        <w:t xml:space="preserve"> </w:t>
      </w:r>
      <w:r>
        <w:t xml:space="preserve">model the intensity clusters of the histogram with class modulation in the form</w:t>
      </w:r>
      <w:r>
        <w:t xml:space="preserve"> </w:t>
      </w:r>
      <w:r>
        <w:t xml:space="preserve">of probabilistic voxelwise label considerations, i.e., Markov random field (MRF)</w:t>
      </w:r>
      <w:r>
        <w:t xml:space="preserve"> </w:t>
      </w:r>
      <w:r>
        <w:t xml:space="preserve">modeling, within image neighborhoods</w:t>
      </w:r>
      <w:r>
        <w:t xml:space="preserve"> </w:t>
      </w:r>
      <w:r>
        <w:t xml:space="preserve">(32)</w:t>
      </w:r>
      <w:r>
        <w:t xml:space="preserve"> </w:t>
      </w:r>
      <w:r>
        <w:t xml:space="preserve">optimized with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(31)</w:t>
      </w:r>
      <w:r>
        <w:t xml:space="preserve">. This has the</w:t>
      </w:r>
      <w:r>
        <w:t xml:space="preserve"> </w:t>
      </w:r>
      <w:r>
        <w:t xml:space="preserve">advantage, in contrast to histogram-only algorithms, that it softens the</w:t>
      </w:r>
      <w:r>
        <w:t xml:space="preserve"> </w:t>
      </w:r>
      <w:r>
        <w:t xml:space="preserve">intensity thresholds between class labels which demonstrates robustness to</w:t>
      </w:r>
      <w:r>
        <w:t xml:space="preserve"> </w:t>
      </w:r>
      <w:r>
        <w:t xml:space="preserve">certain imaging distortions, such as noise. However, as we will demonstrate,</w:t>
      </w:r>
      <w:r>
        <w:t xml:space="preserve"> </w:t>
      </w:r>
      <w:r>
        <w:t xml:space="preserve">this algorithm is also flawed in the inherent assumption that meaningful</w:t>
      </w:r>
      <w:r>
        <w:t xml:space="preserve"> </w:t>
      </w:r>
      <w:r>
        <w:t xml:space="preserve">structure is found, and can be adequately characterized, within the associated</w:t>
      </w:r>
      <w:r>
        <w:t xml:space="preserve"> </w:t>
      </w:r>
      <w:r>
        <w:t xml:space="preserve">image histogram in order to optimize a multi-class labeling. In particular,</w:t>
      </w:r>
      <w:r>
        <w:t xml:space="preserve"> </w:t>
      </w:r>
      <w:r>
        <w:t xml:space="preserve">this algorithm is susceptible to MR 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(63)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(60)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3"/>
    <w:bookmarkStart w:id="24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nonlinear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developed the ability</w:t>
      </w:r>
      <w:r>
        <w:t xml:space="preserve"> </w:t>
      </w:r>
      <w:r>
        <w:t xml:space="preserve">to simulate such MR nonlinear intensity variation by warping the intensity</w:t>
      </w:r>
      <w:r>
        <w:t xml:space="preserve"> </w:t>
      </w:r>
      <w:r>
        <w:t xml:space="preserve">histogram and propagating the intensity changes to the original image. Details</w:t>
      </w:r>
      <w:r>
        <w:t xml:space="preserve"> </w:t>
      </w:r>
      <w:r>
        <w:t xml:space="preserve">as to the availability and code functionality is provided below in the Methods</w:t>
      </w:r>
      <w:r>
        <w:t xml:space="preserve"> </w:t>
      </w:r>
      <w:r>
        <w:t xml:space="preserve">section. Suffice it to say,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 It is important to notice that even</w:t>
      </w:r>
      <w:r>
        <w:t xml:space="preserve"> </w:t>
      </w:r>
      <w:r>
        <w:t xml:space="preserve">relatively small alterations in the image intensities can have significant</w:t>
      </w:r>
      <w:r>
        <w:t xml:space="preserve"> </w:t>
      </w:r>
      <w:r>
        <w:t xml:space="preserve">effects on the histogram even though a visual assessment of the image can remain</w:t>
      </w:r>
      <w:r>
        <w:t xml:space="preserve"> </w:t>
      </w:r>
      <w:r>
        <w:t xml:space="preserve">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(2)</w:t>
      </w:r>
      <w:r>
        <w:t xml:space="preserve"> </w:t>
      </w:r>
      <w:r>
        <w:t xml:space="preserve">consisting of 29 hyperpolarized gas lung images.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(25)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(8, 30)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(24)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(29)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(58)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(56)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(39)</w:t>
      </w:r>
      <w:r>
        <w:t xml:space="preserve">.</w:t>
      </w:r>
    </w:p>
    <w:bookmarkEnd w:id="24"/>
    <w:bookmarkEnd w:id="25"/>
    <w:bookmarkStart w:id="38" w:name="materials-and-methods"/>
    <w:p>
      <w:pPr>
        <w:pStyle w:val="Heading1"/>
      </w:pPr>
      <w:r>
        <w:t xml:space="preserve">Materials and 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6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 older</w:t>
      </w:r>
      <w:r>
        <w:t xml:space="preserve"> </w:t>
      </w:r>
      <w:r>
        <w:t xml:space="preserve">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 (ILD)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 with</w:t>
      </w:r>
      <w:r>
        <w:t xml:space="preserve"> </w:t>
      </w:r>
      <w:r>
        <w:t xml:space="preserve">hyperpolarized 129Xe gas was performed under an Institutional Review Board (IRB)</w:t>
      </w:r>
      <w:r>
        <w:t xml:space="preserve"> </w:t>
      </w:r>
      <w:r>
        <w:t xml:space="preserve">approved protocol with written informed consent obtained from each subject. In</w:t>
      </w:r>
      <w:r>
        <w:t xml:space="preserve"> </w:t>
      </w:r>
      <w:r>
        <w:t xml:space="preserve">addition, all imaging was performed under a Food and Drug Administration (FDA)</w:t>
      </w:r>
      <w:r>
        <w:t xml:space="preserve"> </w:t>
      </w:r>
      <w:r>
        <w:t xml:space="preserve">approved physician’s Investigational New Drug application. MRI data were</w:t>
      </w:r>
      <w:r>
        <w:t xml:space="preserve"> </w:t>
      </w:r>
      <w:r>
        <w:t xml:space="preserve">acquired on a 1.5 T whole-body MRI scanner</w:t>
      </w:r>
      <w:r>
        <w:t xml:space="preserve"> </w:t>
      </w:r>
      <w:r>
        <w:t xml:space="preserve">(Siemens Avanto, Siemens Medical Solutions, Malvern, PA) with broadband</w:t>
      </w:r>
      <w:r>
        <w:t xml:space="preserve"> </w:t>
      </w:r>
      <w:r>
        <w:t xml:space="preserve">capabilities and a flexible 129Xe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129Xe mixed with nitrogen up to a volume equal to 1/3 forced</w:t>
      </w:r>
      <w:r>
        <w:t xml:space="preserve"> </w:t>
      </w:r>
      <w:r>
        <w:t xml:space="preserve">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</w:t>
      </w:r>
    </w:p>
    <w:bookmarkEnd w:id="26"/>
    <w:bookmarkStart w:id="27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(2)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7"/>
    <w:bookmarkEnd w:id="28"/>
    <w:bookmarkStart w:id="34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(54)</w:t>
      </w:r>
      <w:r>
        <w:t xml:space="preserve">, hierarchical k-means</w:t>
      </w:r>
      <w:r>
        <w:t xml:space="preserve"> </w:t>
      </w:r>
      <w:r>
        <w:t xml:space="preserve">(52)</w:t>
      </w:r>
      <w:r>
        <w:t xml:space="preserve">, fuzzy spatial c-means</w:t>
      </w:r>
      <w:r>
        <w:t xml:space="preserve"> </w:t>
      </w:r>
      <w:r>
        <w:t xml:space="preserve">(7)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(64)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(56)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(65)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</w:t>
      </w:r>
      <w:r>
        <w:t xml:space="preserve"> </w:t>
      </w:r>
      <w:r>
        <w:t xml:space="preserve">citation providing the online location of the original Harvard Dataverse data,</w:t>
      </w:r>
      <w:r>
        <w:t xml:space="preserve"> </w:t>
      </w:r>
      <w:r>
        <w:t xml:space="preserve">a header-modified version of these data is available in the GitHub repository</w:t>
      </w:r>
      <w:r>
        <w:t xml:space="preserve"> </w:t>
      </w:r>
      <w:r>
        <w:t xml:space="preserve">associated with this manuscript. Additional evaluation plots have also been</w:t>
      </w:r>
      <w:r>
        <w:t xml:space="preserve"> </w:t>
      </w:r>
      <w:r>
        <w:t xml:space="preserve">made available.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</w:t>
      </w:r>
      <w:r>
        <w:t xml:space="preserve"> </w:t>
      </w:r>
      <w:r>
        <w:t xml:space="preserve">(i.e.,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).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(8, 18, 42, 54, 64)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bookmarkEnd w:id="34"/>
    <w:bookmarkStart w:id="37" w:name="X4f9bef9bea24cb07f2aea3e3f2c5c199572f12a"/>
    <w:p>
      <w:pPr>
        <w:pStyle w:val="Heading2"/>
      </w:pPr>
      <w:r>
        <w:t xml:space="preserve">Introduction of the image-based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network</w:t>
      </w:r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(56)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here instead of two in the previous work).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(36)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(57)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(38)</w:t>
      </w:r>
      <w:r>
        <w:t xml:space="preserve">, and a novel data augmentation</w:t>
      </w:r>
      <w:r>
        <w:t xml:space="preserve"> </w:t>
      </w:r>
      <w:r>
        <w:t xml:space="preserve">strategy.</w:t>
      </w:r>
    </w:p>
    <w:bookmarkStart w:id="35" w:name="network-training"/>
    <w:p>
      <w:pPr>
        <w:pStyle w:val="Heading3"/>
      </w:pPr>
      <w:r>
        <w:t xml:space="preserve">Network training</w:t>
      </w:r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(38)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(37)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(64)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bookmarkEnd w:id="35"/>
    <w:bookmarkStart w:id="36" w:name="pipeline-processing"/>
    <w:p>
      <w:pPr>
        <w:pStyle w:val="Heading3"/>
      </w:pPr>
      <w:r>
        <w:t xml:space="preserve">Pipeline processing</w:t>
      </w:r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bookmarkEnd w:id="36"/>
    <w:bookmarkEnd w:id="37"/>
    <w:bookmarkEnd w:id="38"/>
    <w:bookmarkStart w:id="4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(27)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utility and potential clinical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(21)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quantification of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incorporated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performed the following evaluations/experiments:</w:t>
      </w:r>
      <w:r>
        <w:rPr>
          <w:rStyle w:val="FootnoteReference"/>
        </w:rPr>
        <w:footnoteReference w:id="39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Three-tissue T1-weighted brain MRI segmentation (qualitative analog)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40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(20, 39)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(17–19)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(21)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(22)</w:t>
      </w:r>
      <w:r>
        <w:t xml:space="preserve">.</w:t>
      </w:r>
    </w:p>
    <w:bookmarkEnd w:id="40"/>
    <w:bookmarkStart w:id="41" w:name="t1-weighted-brain-segmentation-analogy"/>
    <w:p>
      <w:pPr>
        <w:pStyle w:val="Heading2"/>
      </w:pPr>
      <w:r>
        <w:t xml:space="preserve">T1-weighted brain segmentation analogy</w:t>
      </w:r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(14–16)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(12, 13)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(11)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 In the case of hyperpolarized gas</w:t>
      </w:r>
      <w:r>
        <w:t xml:space="preserve"> </w:t>
      </w:r>
      <w:r>
        <w:t xml:space="preserve">images, similar misalignments could cause under- or overestimation of</w:t>
      </w:r>
      <w:r>
        <w:t xml:space="preserve"> </w:t>
      </w:r>
      <w:r>
        <w:t xml:space="preserve">ventilation-based cluster volumes although, in this case, the error is much less</w:t>
      </w:r>
      <w:r>
        <w:t xml:space="preserve"> </w:t>
      </w:r>
      <w:r>
        <w:t xml:space="preserve">obvious given the lack of prior knowledge of functional (vs. anatomical)</w:t>
      </w:r>
      <w:r>
        <w:t xml:space="preserve"> </w:t>
      </w:r>
      <w:r>
        <w:t xml:space="preserve">information.</w:t>
      </w:r>
    </w:p>
    <w:bookmarkEnd w:id="41"/>
    <w:bookmarkStart w:id="42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(54)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(54)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42"/>
    <w:bookmarkStart w:id="43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43"/>
    <w:bookmarkEnd w:id="44"/>
    <w:bookmarkStart w:id="4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 use a principled optimization criterion, this criterion is</w:t>
      </w:r>
      <w:r>
        <w:t xml:space="preserve"> </w:t>
      </w:r>
      <w:r>
        <w:t xml:space="preserve">not adequately tailored for hyperpolarized gas imaging and is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(23)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(1, 9)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(56)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(10)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5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5"/>
    <w:bookmarkEnd w:id="46"/>
    <w:bookmarkStart w:id="113" w:name="references"/>
    <w:p>
      <w:pPr>
        <w:pStyle w:val="Heading1"/>
      </w:pPr>
      <w:r>
        <w:t xml:space="preserve">References</w:t>
      </w:r>
    </w:p>
    <w:bookmarkStart w:id="112" w:name="refs"/>
    <w:bookmarkStart w:id="47" w:name="ref-Avants:2021un"/>
    <w:p>
      <w:pPr>
        <w:pStyle w:val="Bibliography"/>
      </w:pPr>
      <w:r>
        <w:t xml:space="preserve">1. Avants BB, Tustison NJ, Stone JR: Similarity-driven multi-view embeddings from high-dimensional biomedical data.</w:t>
      </w:r>
      <w:r>
        <w:t xml:space="preserve"> </w:t>
      </w:r>
      <w:r>
        <w:rPr>
          <w:i/>
        </w:rPr>
        <w:t xml:space="preserve">Nature Computational Science</w:t>
      </w:r>
      <w:r>
        <w:t xml:space="preserve"> </w:t>
      </w:r>
      <w:r>
        <w:t xml:space="preserve">2021.</w:t>
      </w:r>
    </w:p>
    <w:bookmarkEnd w:id="47"/>
    <w:bookmarkStart w:id="48" w:name="ref-He_dataverse:2018"/>
    <w:p>
      <w:pPr>
        <w:pStyle w:val="Bibliography"/>
      </w:pPr>
      <w:r>
        <w:t xml:space="preserve">2. He M, Zha W, Tan F, Rankine L, Fain S, Driehuys B: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2018.</w:t>
      </w:r>
    </w:p>
    <w:bookmarkEnd w:id="48"/>
    <w:bookmarkStart w:id="49" w:name="ref-He:2019aa"/>
    <w:p>
      <w:pPr>
        <w:pStyle w:val="Bibliography"/>
      </w:pPr>
      <w:r>
        <w:t xml:space="preserve">3.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49"/>
    <w:bookmarkStart w:id="50" w:name="ref-Ray:2003aa"/>
    <w:p>
      <w:pPr>
        <w:pStyle w:val="Bibliography"/>
      </w:pPr>
      <w:r>
        <w:t xml:space="preserve">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0"/>
    <w:bookmarkStart w:id="51" w:name="ref-Chuang:2006aa"/>
    <w:p>
      <w:pPr>
        <w:pStyle w:val="Bibliography"/>
      </w:pPr>
      <w:r>
        <w:t xml:space="preserve">5.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51"/>
    <w:bookmarkStart w:id="52" w:name="ref-Bezdek:1981aa"/>
    <w:p>
      <w:pPr>
        <w:pStyle w:val="Bibliography"/>
      </w:pPr>
      <w:r>
        <w:t xml:space="preserve">6.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52"/>
    <w:bookmarkStart w:id="53" w:name="ref-Hughes:2018aa"/>
    <w:p>
      <w:pPr>
        <w:pStyle w:val="Bibliography"/>
      </w:pPr>
      <w:r>
        <w:t xml:space="preserve">7.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3"/>
    <w:bookmarkStart w:id="54" w:name="ref-Zha:2016aa"/>
    <w:p>
      <w:pPr>
        <w:pStyle w:val="Bibliography"/>
      </w:pPr>
      <w:r>
        <w:t xml:space="preserve">8.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4"/>
    <w:bookmarkStart w:id="55" w:name="ref-Stone:2020aa"/>
    <w:p>
      <w:pPr>
        <w:pStyle w:val="Bibliography"/>
      </w:pPr>
      <w:r>
        <w:t xml:space="preserve">9.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55"/>
    <w:bookmarkStart w:id="56" w:name="ref-Li:2020aa"/>
    <w:p>
      <w:pPr>
        <w:pStyle w:val="Bibliography"/>
      </w:pPr>
      <w:r>
        <w:t xml:space="preserve">10.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56"/>
    <w:bookmarkStart w:id="57" w:name="ref-srpb"/>
    <w:p>
      <w:pPr>
        <w:pStyle w:val="Bibliography"/>
      </w:pPr>
      <w:r>
        <w:t xml:space="preserve">11.</w:t>
      </w:r>
      <w:r>
        <w:t xml:space="preserve"> </w:t>
      </w:r>
      <w:r>
        <w:t xml:space="preserve">https://bicr-resource.atr.jp/srpbs1600/</w:t>
      </w:r>
      <w:r>
        <w:t xml:space="preserve">.</w:t>
      </w:r>
    </w:p>
    <w:bookmarkEnd w:id="57"/>
    <w:bookmarkStart w:id="58" w:name="ref-Boer:2010aa"/>
    <w:p>
      <w:pPr>
        <w:pStyle w:val="Bibliography"/>
      </w:pPr>
      <w:r>
        <w:t xml:space="preserve">12.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58"/>
    <w:bookmarkStart w:id="59" w:name="ref-Cuadra:2005aa"/>
    <w:p>
      <w:pPr>
        <w:pStyle w:val="Bibliography"/>
      </w:pPr>
      <w:r>
        <w:t xml:space="preserve">13. Cuadra MB, Cammoun L, Butz T, Cuisenaire O, Thiran J-P: Comparison and validation of tissue modelization and statistical classification methods in</w:t>
      </w:r>
      <w:r>
        <w:t xml:space="preserve"> </w:t>
      </w:r>
      <w:r>
        <w:t xml:space="preserve">T1</w:t>
      </w:r>
      <w:r>
        <w:t xml:space="preserve">-weighted</w:t>
      </w:r>
      <w:r>
        <w:t xml:space="preserve"> </w:t>
      </w:r>
      <w:r>
        <w:t xml:space="preserve">MR</w:t>
      </w:r>
      <w:r>
        <w:t xml:space="preserve"> </w:t>
      </w:r>
      <w:r>
        <w:t xml:space="preserve">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59"/>
    <w:bookmarkStart w:id="60" w:name="ref-Despotovic:2015aa"/>
    <w:p>
      <w:pPr>
        <w:pStyle w:val="Bibliography"/>
      </w:pPr>
      <w:r>
        <w:t xml:space="preserve">14.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60"/>
    <w:bookmarkStart w:id="61" w:name="ref-Pham:2000aa"/>
    <w:p>
      <w:pPr>
        <w:pStyle w:val="Bibliography"/>
      </w:pPr>
      <w:r>
        <w:t xml:space="preserve">15.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61"/>
    <w:bookmarkStart w:id="62" w:name="ref-Bezdek:1993aa"/>
    <w:p>
      <w:pPr>
        <w:pStyle w:val="Bibliography"/>
      </w:pPr>
      <w:r>
        <w:t xml:space="preserve">16. Bezdek JC, Hall LO, Clarke LP: Review of</w:t>
      </w:r>
      <w:r>
        <w:t xml:space="preserve"> </w:t>
      </w:r>
      <w:r>
        <w:t xml:space="preserve">MR</w:t>
      </w:r>
      <w:r>
        <w:t xml:space="preserve"> </w:t>
      </w:r>
      <w:r>
        <w:t xml:space="preserve">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 </w:t>
      </w:r>
      <w:r>
        <w:t xml:space="preserve">1993; 20:1033–48.</w:t>
      </w:r>
    </w:p>
    <w:bookmarkEnd w:id="62"/>
    <w:bookmarkStart w:id="63" w:name="ref-Mammarappallil:2019aa"/>
    <w:p>
      <w:pPr>
        <w:pStyle w:val="Bibliography"/>
      </w:pPr>
      <w:r>
        <w:t xml:space="preserve">17.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63"/>
    <w:bookmarkStart w:id="64" w:name="ref-Santyr:2019aa"/>
    <w:p>
      <w:pPr>
        <w:pStyle w:val="Bibliography"/>
      </w:pPr>
      <w:r>
        <w:t xml:space="preserve">18.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64"/>
    <w:bookmarkStart w:id="65" w:name="ref-Myc:2020aa"/>
    <w:p>
      <w:pPr>
        <w:pStyle w:val="Bibliography"/>
      </w:pPr>
      <w:r>
        <w:t xml:space="preserve">19. Myc L, Qing K, He M, et al.: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65"/>
    <w:bookmarkStart w:id="66" w:name="ref-Tustison:2014ab"/>
    <w:p>
      <w:pPr>
        <w:pStyle w:val="Bibliography"/>
      </w:pPr>
      <w:r>
        <w:t xml:space="preserve">20. Tustison NJ, Cook PA, Klein A, et al.: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66"/>
    <w:bookmarkStart w:id="67" w:name="ref-Breiman:2001aa"/>
    <w:p>
      <w:pPr>
        <w:pStyle w:val="Bibliography"/>
      </w:pPr>
      <w:r>
        <w:t xml:space="preserve">21.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67"/>
    <w:bookmarkStart w:id="68" w:name="ref-Badnjevic:2018aa"/>
    <w:p>
      <w:pPr>
        <w:pStyle w:val="Bibliography"/>
      </w:pPr>
      <w:r>
        <w:t xml:space="preserve">22.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68"/>
    <w:bookmarkStart w:id="69" w:name="ref-Wolpert:1997aa"/>
    <w:p>
      <w:pPr>
        <w:pStyle w:val="Bibliography"/>
      </w:pPr>
      <w:r>
        <w:t xml:space="preserve">23.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69"/>
    <w:bookmarkStart w:id="70" w:name="ref-Couch:2019aa"/>
    <w:p>
      <w:pPr>
        <w:pStyle w:val="Bibliography"/>
      </w:pPr>
      <w:r>
        <w:t xml:space="preserve">24. Couch MJ, Thomen R, Kanhere N, et al.: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70"/>
    <w:bookmarkStart w:id="71" w:name="ref-Wang:2004aa"/>
    <w:p>
      <w:pPr>
        <w:pStyle w:val="Bibliography"/>
      </w:pPr>
      <w:r>
        <w:t xml:space="preserve">25.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1"/>
    <w:bookmarkStart w:id="72" w:name="ref-Cooley:2010aa"/>
    <w:p>
      <w:pPr>
        <w:pStyle w:val="Bibliography"/>
      </w:pPr>
      <w:r>
        <w:t xml:space="preserve">26. Cooley B, Acton S, Salemo M, et al.: Automated scoring of hyperpolarized helium-3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2"/>
    <w:bookmarkStart w:id="73" w:name="ref-Warfield:2004aa"/>
    <w:p>
      <w:pPr>
        <w:pStyle w:val="Bibliography"/>
      </w:pPr>
      <w:r>
        <w:t xml:space="preserve">27. Warfield SK, Zou KH, Wells WM: Simultaneous truth and performance level estimation (</w:t>
      </w:r>
      <w:r>
        <w:t xml:space="preserve">STAPLE</w:t>
      </w:r>
      <w:r>
        <w:t xml:space="preserve">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73"/>
    <w:bookmarkStart w:id="74" w:name="ref-Shen:2017aa"/>
    <w:p>
      <w:pPr>
        <w:pStyle w:val="Bibliography"/>
      </w:pPr>
      <w:r>
        <w:t xml:space="preserve">28.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74"/>
    <w:bookmarkStart w:id="75" w:name="ref-LeCun:2015aa"/>
    <w:p>
      <w:pPr>
        <w:pStyle w:val="Bibliography"/>
      </w:pPr>
      <w:r>
        <w:t xml:space="preserve">29.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75"/>
    <w:bookmarkStart w:id="76" w:name="ref-Svenningsen:2020aa"/>
    <w:p>
      <w:pPr>
        <w:pStyle w:val="Bibliography"/>
      </w:pPr>
      <w:r>
        <w:t xml:space="preserve">30. Svenningsen S, McIntosh M, Ouriadov A, et al.: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6"/>
    <w:bookmarkStart w:id="77" w:name="ref-Dempster:1977aa"/>
    <w:p>
      <w:pPr>
        <w:pStyle w:val="Bibliography"/>
      </w:pPr>
      <w:r>
        <w:t xml:space="preserve">31. Dempster AP, Laird NM, Rubin DB: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7"/>
    <w:bookmarkStart w:id="78" w:name="ref-Besag:1986aa"/>
    <w:p>
      <w:pPr>
        <w:pStyle w:val="Bibliography"/>
      </w:pPr>
      <w:r>
        <w:t xml:space="preserve">32.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8"/>
    <w:bookmarkStart w:id="79" w:name="ref-Thomen:2015aa"/>
    <w:p>
      <w:pPr>
        <w:pStyle w:val="Bibliography"/>
      </w:pPr>
      <w:r>
        <w:t xml:space="preserve">33. Thomen RP, Sheshadri A, Quirk JD, et al.: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79"/>
    <w:bookmarkStart w:id="80" w:name="ref-Kirby:2012ab"/>
    <w:p>
      <w:pPr>
        <w:pStyle w:val="Bibliography"/>
      </w:pPr>
      <w:r>
        <w:t xml:space="preserve">34. Kirby M, Svenningsen S, Owrangi A,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80"/>
    <w:bookmarkStart w:id="81" w:name="ref-Lange:1999aa"/>
    <w:p>
      <w:pPr>
        <w:pStyle w:val="Bibliography"/>
      </w:pPr>
      <w:r>
        <w:t xml:space="preserve">35.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81"/>
    <w:bookmarkStart w:id="82" w:name="ref-Schlemper:2019aa"/>
    <w:p>
      <w:pPr>
        <w:pStyle w:val="Bibliography"/>
      </w:pPr>
      <w:r>
        <w:t xml:space="preserve">36.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2"/>
    <w:bookmarkStart w:id="83" w:name="ref-Crum:2006aa"/>
    <w:p>
      <w:pPr>
        <w:pStyle w:val="Bibliography"/>
      </w:pPr>
      <w:r>
        <w:t xml:space="preserve">37.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3"/>
    <w:bookmarkStart w:id="84" w:name="ref-Isensee:2020aa"/>
    <w:p>
      <w:pPr>
        <w:pStyle w:val="Bibliography"/>
      </w:pPr>
      <w:r>
        <w:t xml:space="preserve">38. Isensee F, Jaeger PF, Kohl SAA, Petersen J, Maier-Hein KH: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4"/>
    <w:bookmarkStart w:id="85" w:name="ref-Tustison:2020aa"/>
    <w:p>
      <w:pPr>
        <w:pStyle w:val="Bibliography"/>
      </w:pPr>
      <w:r>
        <w:t xml:space="preserve">39.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5"/>
    <w:bookmarkStart w:id="86" w:name="ref-Vannier:1985aa"/>
    <w:p>
      <w:pPr>
        <w:pStyle w:val="Bibliography"/>
      </w:pPr>
      <w:r>
        <w:t xml:space="preserve">40.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6"/>
    <w:bookmarkStart w:id="87" w:name="ref-Hartigan:1979aa"/>
    <w:p>
      <w:pPr>
        <w:pStyle w:val="Bibliography"/>
      </w:pPr>
      <w:r>
        <w:t xml:space="preserve">41.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87"/>
    <w:bookmarkStart w:id="88" w:name="ref-Shammi:2021aa"/>
    <w:p>
      <w:pPr>
        <w:pStyle w:val="Bibliography"/>
      </w:pPr>
      <w:r>
        <w:t xml:space="preserve">42. Shammi UA, D’Alessandro MF, Altes T, et al.: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88"/>
    <w:bookmarkStart w:id="89" w:name="ref-Andersen:1996aa"/>
    <w:p>
      <w:pPr>
        <w:pStyle w:val="Bibliography"/>
      </w:pPr>
      <w:r>
        <w:t xml:space="preserve">43. Andersen AH: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89"/>
    <w:bookmarkStart w:id="90" w:name="ref-Gudbjartsson:1995aa"/>
    <w:p>
      <w:pPr>
        <w:pStyle w:val="Bibliography"/>
      </w:pPr>
      <w:r>
        <w:t xml:space="preserve">44. Gudbjartsson H, Patz S: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90"/>
    <w:bookmarkStart w:id="91" w:name="ref-Ashburner:2005aa"/>
    <w:p>
      <w:pPr>
        <w:pStyle w:val="Bibliography"/>
      </w:pPr>
      <w:r>
        <w:t xml:space="preserve">45.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91"/>
    <w:bookmarkStart w:id="92" w:name="ref-Avants:2011aa"/>
    <w:p>
      <w:pPr>
        <w:pStyle w:val="Bibliography"/>
      </w:pPr>
      <w:r>
        <w:t xml:space="preserve">46.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92"/>
    <w:bookmarkStart w:id="93" w:name="ref-Collewet:2004aa"/>
    <w:p>
      <w:pPr>
        <w:pStyle w:val="Bibliography"/>
      </w:pPr>
      <w:r>
        <w:t xml:space="preserve">47. Collewet G, Strzelecki M, Mariette F: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93"/>
    <w:bookmarkStart w:id="94" w:name="ref-Wendt:1994aa"/>
    <w:p>
      <w:pPr>
        <w:pStyle w:val="Bibliography"/>
      </w:pPr>
      <w:r>
        <w:t xml:space="preserve">48.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94"/>
    <w:bookmarkStart w:id="95" w:name="ref-De-Nunzio:2015aa"/>
    <w:p>
      <w:pPr>
        <w:pStyle w:val="Bibliography"/>
      </w:pPr>
      <w:r>
        <w:t xml:space="preserve">49.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95"/>
    <w:bookmarkStart w:id="96" w:name="ref-Nyul:2000aa"/>
    <w:p>
      <w:pPr>
        <w:pStyle w:val="Bibliography"/>
      </w:pPr>
      <w:r>
        <w:t xml:space="preserve">50. Nyúl LG, Udupa JK, Zhang X: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96"/>
    <w:bookmarkStart w:id="97" w:name="ref-Nyul:1999aa"/>
    <w:p>
      <w:pPr>
        <w:pStyle w:val="Bibliography"/>
      </w:pPr>
      <w:r>
        <w:t xml:space="preserve">51. Nyúl LG, Udupa JK: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97"/>
    <w:bookmarkStart w:id="98" w:name="ref-Kirby:2012aa"/>
    <w:p>
      <w:pPr>
        <w:pStyle w:val="Bibliography"/>
      </w:pPr>
      <w:r>
        <w:t xml:space="preserve">52. Kirby M, Heydarian M, Svenningsen S,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98"/>
    <w:bookmarkStart w:id="99" w:name="ref-He:2020aa"/>
    <w:p>
      <w:pPr>
        <w:pStyle w:val="Bibliography"/>
      </w:pPr>
      <w:r>
        <w:t xml:space="preserve">53. He M, Wang Z, Rankine L, et al.: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99"/>
    <w:bookmarkStart w:id="100" w:name="ref-He:2016aa"/>
    <w:p>
      <w:pPr>
        <w:pStyle w:val="Bibliography"/>
      </w:pPr>
      <w:r>
        <w:t xml:space="preserve">54. He M, Driehuys B, Que LG, Huang Y-CT: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100"/>
    <w:bookmarkStart w:id="101" w:name="ref-Woodhouse:2005aa"/>
    <w:p>
      <w:pPr>
        <w:pStyle w:val="Bibliography"/>
      </w:pPr>
      <w:r>
        <w:t xml:space="preserve">55.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101"/>
    <w:bookmarkStart w:id="102" w:name="ref-Tustison:2019ac"/>
    <w:p>
      <w:pPr>
        <w:pStyle w:val="Bibliography"/>
      </w:pPr>
      <w:r>
        <w:t xml:space="preserve">56.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102"/>
    <w:bookmarkStart w:id="103" w:name="ref-Falk:2019aa"/>
    <w:p>
      <w:pPr>
        <w:pStyle w:val="Bibliography"/>
      </w:pPr>
      <w:r>
        <w:t xml:space="preserve">57.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103"/>
    <w:bookmarkStart w:id="104" w:name="ref-Zhang:2018aa"/>
    <w:p>
      <w:pPr>
        <w:pStyle w:val="Bibliography"/>
      </w:pPr>
      <w:r>
        <w:t xml:space="preserve">58.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104"/>
    <w:bookmarkStart w:id="105" w:name="ref-Zhang:2001aa"/>
    <w:p>
      <w:pPr>
        <w:pStyle w:val="Bibliography"/>
      </w:pPr>
      <w:r>
        <w:t xml:space="preserve">59. Zhang Y, Brady M, Smith S: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105"/>
    <w:bookmarkStart w:id="106" w:name="ref-Sled:1998aa"/>
    <w:p>
      <w:pPr>
        <w:pStyle w:val="Bibliography"/>
      </w:pPr>
      <w:r>
        <w:t xml:space="preserve">60. Sled JG, Zijdenbos AP, Evans AC: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106"/>
    <w:bookmarkStart w:id="107" w:name="ref-Samee:2003aa"/>
    <w:p>
      <w:pPr>
        <w:pStyle w:val="Bibliography"/>
      </w:pPr>
      <w:r>
        <w:t xml:space="preserve">61.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107"/>
    <w:bookmarkStart w:id="108" w:name="ref-Altes:2001aa"/>
    <w:p>
      <w:pPr>
        <w:pStyle w:val="Bibliography"/>
      </w:pPr>
      <w:r>
        <w:t xml:space="preserve">62. Altes TA, Powers PL, Knight-Scott J,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108"/>
    <w:bookmarkStart w:id="109" w:name="ref-Tustison:2010ac"/>
    <w:p>
      <w:pPr>
        <w:pStyle w:val="Bibliography"/>
      </w:pPr>
      <w:r>
        <w:t xml:space="preserve">63. Tustison NJ, Avants BB, Cook PA, et al.: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109"/>
    <w:bookmarkStart w:id="110" w:name="ref-Tustison:2011aa"/>
    <w:p>
      <w:pPr>
        <w:pStyle w:val="Bibliography"/>
      </w:pPr>
      <w:r>
        <w:t xml:space="preserve">64. Tustison NJ, Avants BB, Flors L, et al.: Ventilation-based segmentation of the lungs using hyperpolarized (3)he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110"/>
    <w:bookmarkStart w:id="111" w:name="ref-Tustison:2013aa"/>
    <w:p>
      <w:pPr>
        <w:pStyle w:val="Bibliography"/>
      </w:pPr>
      <w:r>
        <w:t xml:space="preserve">65.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work-in-progress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https://github.com/ntustison/Histograms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completeness, we did run the same experiments detailed below using the</w:t>
      </w:r>
      <w:r>
        <w:t xml:space="preserve"> </w:t>
      </w:r>
      <w:r>
        <w:t xml:space="preserve">uncorrected UVa images (and the previously reported parameters</w:t>
      </w:r>
      <w:r>
        <w:t xml:space="preserve"> </w:t>
      </w:r>
      <w:r>
        <w:t xml:space="preserve">for linear binning) and the results were similar. These results can be</w:t>
      </w:r>
      <w:r>
        <w:t xml:space="preserve"> </w:t>
      </w:r>
      <w:r>
        <w:t xml:space="preserve">found in the GitHub repository associated with this work.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 Dr. Altes.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contentions stand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2021-03-22T20:51:17Z</dcterms:created>
  <dcterms:modified xsi:type="dcterms:W3CDTF">2021-03-22T20:51:17Z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journal-of-magnetic-resonance-imaging.csl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