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To evaluate the most common approaches for histogram-based</w:t>
      </w:r>
      <w:r>
        <w:t xml:space="preserve"> </w:t>
      </w:r>
      <w:r>
        <w:t xml:space="preserve">optimization of hyperpolarized gas lung imaging segmentation in comparison</w:t>
      </w:r>
      <w:r>
        <w:t xml:space="preserve"> </w:t>
      </w:r>
      <w:r>
        <w:t xml:space="preserve">with image-based optimization via a trained convolutional neural network (CNN).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</w:t>
      </w:r>
      <w:r>
        <w:t xml:space="preserve"> </w:t>
      </w:r>
      <w:r>
        <w:t xml:space="preserve">algorithms (linear binning, hierarchical k-means, fuzzy spatial c-means, and a</w:t>
      </w:r>
      <w:r>
        <w:t xml:space="preserve"> </w:t>
      </w:r>
      <w:r>
        <w:t xml:space="preserve">Gaussian Mixture Model with a Markov Random Field prior) and a CNN were used to</w:t>
      </w:r>
      <w:r>
        <w:t xml:space="preserve"> </w:t>
      </w:r>
      <w:r>
        <w:t xml:space="preserve">segment two data sets, one public (</w:t>
      </w:r>
      <m:oMath>
        <m:r>
          <m:t>n</m:t>
        </m:r>
        <m:r>
          <m:t>=</m:t>
        </m:r>
        <m:r>
          <m:t>29</m:t>
        </m:r>
      </m:oMath>
      <w:r>
        <w:t xml:space="preserve">) and one retrospective collection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images, transformed by common MRI</w:t>
      </w:r>
      <w:r>
        <w:t xml:space="preserve"> </w:t>
      </w:r>
      <w:r>
        <w:t xml:space="preserve">artefacts (nonlinear intensity variation and additive noise). The resulting</w:t>
      </w:r>
      <w:r>
        <w:t xml:space="preserve"> </w:t>
      </w:r>
      <w:r>
        <w:t xml:space="preserve">ventilation-based segmentations were compared in terms of measurement bias and</w:t>
      </w:r>
      <w:r>
        <w:t xml:space="preserve"> </w:t>
      </w:r>
      <w:r>
        <w:t xml:space="preserve">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 are less robust in the presence of common MRI artefacts</w:t>
      </w:r>
      <w:r>
        <w:t xml:space="preserve"> </w:t>
      </w:r>
      <w:r>
        <w:t xml:space="preserve">relative to the exemplar CNN.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CNNs</w:t>
      </w:r>
      <w:r>
        <w:t xml:space="preserve"> </w:t>
      </w:r>
      <w:r>
        <w:t xml:space="preserve">leverages spatial information which mitigates problematic issues associated with</w:t>
      </w:r>
      <w:r>
        <w:t xml:space="preserve"> </w:t>
      </w:r>
      <w:r>
        <w:t xml:space="preserve">histogram-based approaches and suggests a preferred future research direction.</w:t>
      </w:r>
      <w:r>
        <w:t xml:space="preserve"> </w:t>
      </w:r>
      <w:r>
        <w:t xml:space="preserve">Further, the entire processing and evaluation framework, including the newly</w:t>
      </w:r>
      <w:r>
        <w:t xml:space="preserve"> </w:t>
      </w:r>
      <w:r>
        <w:t xml:space="preserve">reported deep learning functionality, are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(35, 61, 62)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(42, 55)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(53, 54)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(34, 52)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(64)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(55)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(33)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(42)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(43, 44)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(60)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(51)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(47–51)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(45, 46, 59)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(50, 51)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  <w:r>
        <w:t xml:space="preserve"> </w:t>
      </w:r>
      <w:r>
        <w:t xml:space="preserve">Additionally, because of the functional nature of these images, the segmentation</w:t>
      </w:r>
      <w:r>
        <w:t xml:space="preserve"> </w:t>
      </w:r>
      <w:r>
        <w:t xml:space="preserve">clusters that correspond to features of interest are not necessarily guaranteed</w:t>
      </w:r>
      <w:r>
        <w:t xml:space="preserve"> </w:t>
      </w:r>
      <w:r>
        <w:t xml:space="preserve">to exist (e.g., ventilation defects in the case of healthy normal subjects with</w:t>
      </w:r>
      <w:r>
        <w:t xml:space="preserve"> </w:t>
      </w:r>
      <w:r>
        <w:t xml:space="preserve">no lung pathology).</w:t>
      </w:r>
    </w:p>
    <w:p>
      <w:pPr>
        <w:pStyle w:val="BodyText"/>
      </w:pPr>
      <w:r>
        <w:t xml:space="preserve">The approach used by some groups</w:t>
      </w:r>
      <w:r>
        <w:t xml:space="preserve"> </w:t>
      </w:r>
      <w:r>
        <w:t xml:space="preserve">(26, 52)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(41)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(6)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(5)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3He and 129Xe images in</w:t>
      </w:r>
      <w:r>
        <w:t xml:space="preserve"> </w:t>
      </w:r>
      <w:r>
        <w:t xml:space="preserve">(7)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(64)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(40)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(32)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(31)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(60)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nonlinear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developed the ability</w:t>
      </w:r>
      <w:r>
        <w:t xml:space="preserve"> </w:t>
      </w:r>
      <w:r>
        <w:t xml:space="preserve">to simulate such MR nonlinear intensity variation by warping the intensity</w:t>
      </w:r>
      <w:r>
        <w:t xml:space="preserve"> </w:t>
      </w:r>
      <w:r>
        <w:t xml:space="preserve">histogram and propagating the intensity changes to the original image. Details</w:t>
      </w:r>
      <w:r>
        <w:t xml:space="preserve"> </w:t>
      </w:r>
      <w:r>
        <w:t xml:space="preserve">as to the availability and code functionality is provided below in the Methods</w:t>
      </w:r>
      <w:r>
        <w:t xml:space="preserve"> </w:t>
      </w:r>
      <w:r>
        <w:t xml:space="preserve">section. Suffice it to say,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 It is important to notice that even</w:t>
      </w:r>
      <w:r>
        <w:t xml:space="preserve"> </w:t>
      </w:r>
      <w:r>
        <w:t xml:space="preserve">relatively small alterations in the image intensities can have significant</w:t>
      </w:r>
      <w:r>
        <w:t xml:space="preserve"> </w:t>
      </w:r>
      <w:r>
        <w:t xml:space="preserve">effects on the histogram even though a visual assessment of the image can remain</w:t>
      </w:r>
      <w:r>
        <w:t xml:space="preserve"> </w:t>
      </w:r>
      <w:r>
        <w:t xml:space="preserve">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(25)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(8, 30)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(24)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(29)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(39)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6"/>
    <w:bookmarkStart w:id="27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(54)</w:t>
      </w:r>
      <w:r>
        <w:t xml:space="preserve">, hierarchical k-means</w:t>
      </w:r>
      <w:r>
        <w:t xml:space="preserve"> </w:t>
      </w:r>
      <w:r>
        <w:t xml:space="preserve">(52)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).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(8, 18, 42, 54, 64)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(38)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(37)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</w:t>
      </w:r>
      <w:r>
        <w:t xml:space="preserve"> </w:t>
      </w:r>
      <w:r>
        <w:t xml:space="preserve">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quantification of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incorporated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(20, 39)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(17–19)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(22)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(14–16)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(12, 13)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 In the case of hyperpolarized gas</w:t>
      </w:r>
      <w:r>
        <w:t xml:space="preserve"> </w:t>
      </w:r>
      <w:r>
        <w:t xml:space="preserve">images, similar misalignments could cause under- or overestimation of</w:t>
      </w:r>
      <w:r>
        <w:t xml:space="preserve"> </w:t>
      </w:r>
      <w:r>
        <w:t xml:space="preserve">ventilation-based cluster volumes although, in this case, the error is much less</w:t>
      </w:r>
      <w:r>
        <w:t xml:space="preserve"> </w:t>
      </w:r>
      <w:r>
        <w:t xml:space="preserve">obvious given the lack of prior knowledge of functional (vs. anatomical)</w:t>
      </w:r>
      <w:r>
        <w:t xml:space="preserve"> </w:t>
      </w:r>
      <w:r>
        <w:t xml:space="preserve">information.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7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7"/>
    <w:bookmarkStart w:id="48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11.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12.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13.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14.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16.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19.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20.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24.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25.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27.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30.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31.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32.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33.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34.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37.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38.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39.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40.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41.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50.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60.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</w:t>
      </w:r>
      <w:r>
        <w:t xml:space="preserve"> </w:t>
      </w:r>
      <w:r>
        <w:t xml:space="preserve">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2021-03-24T01:24:00Z</dcterms:created>
  <dcterms:modified xsi:type="dcterms:W3CDTF">2021-03-24T01:24:00Z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