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25" w:rsidRPr="00094125" w:rsidRDefault="00094125" w:rsidP="0009412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</w:rPr>
      </w:pPr>
      <w:r w:rsidRPr="00094125">
        <w:rPr>
          <w:rFonts w:ascii="標楷體" w:eastAsia="標楷體" w:hAnsi="標楷體" w:hint="eastAsia"/>
          <w:b/>
        </w:rPr>
        <w:t>作業要求：</w:t>
      </w:r>
    </w:p>
    <w:p w:rsidR="0069595F" w:rsidRPr="00094125" w:rsidRDefault="00094125" w:rsidP="009A43B5">
      <w:pPr>
        <w:spacing w:beforeLines="50" w:afterLines="50"/>
        <w:ind w:firstLineChars="200" w:firstLine="480"/>
        <w:rPr>
          <w:rFonts w:ascii="標楷體" w:eastAsia="標楷體" w:hAnsi="標楷體"/>
        </w:rPr>
      </w:pPr>
      <w:r w:rsidRPr="00094125">
        <w:rPr>
          <w:rFonts w:ascii="標楷體" w:eastAsia="標楷體" w:hAnsi="標楷體" w:hint="eastAsia"/>
        </w:rPr>
        <w:t xml:space="preserve">請各組根據自己在 HW1 所分配到的 </w:t>
      </w:r>
      <w:r w:rsidRPr="00094125">
        <w:rPr>
          <w:rFonts w:ascii="標楷體" w:eastAsia="標楷體" w:hAnsi="標楷體" w:hint="eastAsia"/>
          <w:b/>
        </w:rPr>
        <w:t>ETF</w:t>
      </w:r>
      <w:r w:rsidRPr="00094125">
        <w:rPr>
          <w:rFonts w:ascii="標楷體" w:eastAsia="標楷體" w:hAnsi="標楷體" w:hint="eastAsia"/>
        </w:rPr>
        <w:t xml:space="preserve"> ，以及爬蟲程式 ，將所需的資料從網站 (不限來源)扒下 來後，用上述 A,B,C 三 個評比 指標 來排列 ETF ，用「週資料」及「月資料」分析，程式 從 Now () 開始回朔至少三年資料</w:t>
      </w:r>
    </w:p>
    <w:p w:rsidR="00094125" w:rsidRPr="00094125" w:rsidRDefault="00094125" w:rsidP="009A43B5">
      <w:pPr>
        <w:pStyle w:val="a3"/>
        <w:numPr>
          <w:ilvl w:val="0"/>
          <w:numId w:val="6"/>
        </w:numPr>
        <w:spacing w:beforeLines="50" w:afterLines="50"/>
        <w:ind w:leftChars="0" w:left="482" w:hanging="482"/>
        <w:rPr>
          <w:rFonts w:ascii="標楷體" w:eastAsia="標楷體" w:hAnsi="標楷體"/>
          <w:b/>
        </w:rPr>
      </w:pPr>
      <w:r w:rsidRPr="00094125">
        <w:rPr>
          <w:rFonts w:ascii="標楷體" w:eastAsia="標楷體" w:hAnsi="標楷體" w:hint="eastAsia"/>
          <w:b/>
        </w:rPr>
        <w:t>資料來源及計算：</w:t>
      </w:r>
    </w:p>
    <w:p w:rsidR="00094125" w:rsidRPr="00094125" w:rsidRDefault="00094125" w:rsidP="00B46829">
      <w:pPr>
        <w:pStyle w:val="a3"/>
        <w:numPr>
          <w:ilvl w:val="0"/>
          <w:numId w:val="1"/>
        </w:numPr>
        <w:ind w:leftChars="0" w:left="993" w:hanging="567"/>
        <w:rPr>
          <w:rFonts w:ascii="標楷體" w:eastAsia="標楷體" w:hAnsi="標楷體"/>
        </w:rPr>
      </w:pPr>
      <w:r w:rsidRPr="00094125">
        <w:rPr>
          <w:rFonts w:ascii="標楷體" w:eastAsia="標楷體" w:hAnsi="標楷體" w:hint="eastAsia"/>
        </w:rPr>
        <w:t>"</w:t>
      </w:r>
      <w:r w:rsidRPr="00094125">
        <w:rPr>
          <w:rFonts w:ascii="標楷體" w:eastAsia="標楷體" w:hAnsi="標楷體" w:hint="eastAsia"/>
          <w:b/>
        </w:rPr>
        <w:t>週報酬率</w:t>
      </w:r>
      <w:r w:rsidRPr="00094125">
        <w:rPr>
          <w:rFonts w:ascii="標楷體" w:eastAsia="標楷體" w:hAnsi="標楷體" w:hint="eastAsia"/>
        </w:rPr>
        <w:t>" 及 "</w:t>
      </w:r>
      <w:r w:rsidRPr="00094125">
        <w:rPr>
          <w:rFonts w:ascii="標楷體" w:eastAsia="標楷體" w:hAnsi="標楷體" w:hint="eastAsia"/>
          <w:b/>
        </w:rPr>
        <w:t>月報率</w:t>
      </w:r>
      <w:r w:rsidRPr="00094125">
        <w:rPr>
          <w:rFonts w:ascii="標楷體" w:eastAsia="標楷體" w:hAnsi="標楷體" w:hint="eastAsia"/>
        </w:rPr>
        <w:t>"</w:t>
      </w:r>
    </w:p>
    <w:p w:rsidR="00094125" w:rsidRDefault="00094125" w:rsidP="00B46829">
      <w:pPr>
        <w:pStyle w:val="a3"/>
        <w:numPr>
          <w:ilvl w:val="0"/>
          <w:numId w:val="2"/>
        </w:numPr>
        <w:ind w:leftChars="0" w:left="1276" w:hanging="426"/>
        <w:rPr>
          <w:rFonts w:ascii="標楷體" w:eastAsia="標楷體" w:hAnsi="標楷體"/>
        </w:rPr>
      </w:pPr>
      <w:r w:rsidRPr="00094125">
        <w:rPr>
          <w:rFonts w:ascii="標楷體" w:eastAsia="標楷體" w:hAnsi="標楷體" w:hint="eastAsia"/>
        </w:rPr>
        <w:t>篩選至今成立三年以上ETF，爬蟲得到淨值NAV(或市價closing price)資料</w:t>
      </w:r>
    </w:p>
    <w:p w:rsidR="00FD1710" w:rsidRPr="00FD1710" w:rsidRDefault="00FD1710" w:rsidP="00B46829">
      <w:pPr>
        <w:pStyle w:val="a3"/>
        <w:numPr>
          <w:ilvl w:val="0"/>
          <w:numId w:val="2"/>
        </w:numPr>
        <w:ind w:leftChars="0" w:left="1276" w:hanging="42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t期return </w:t>
      </w:r>
      <w:proofErr w:type="spellStart"/>
      <w:r w:rsidRPr="00302725">
        <w:rPr>
          <w:rFonts w:ascii="標楷體" w:eastAsia="標楷體" w:hAnsi="標楷體" w:hint="eastAsia"/>
          <w:b/>
          <w:color w:val="FF0000"/>
        </w:rPr>
        <w:t>R</w:t>
      </w:r>
      <w:r w:rsidRPr="00302725">
        <w:rPr>
          <w:rFonts w:ascii="標楷體" w:eastAsia="標楷體" w:hAnsi="標楷體" w:hint="eastAsia"/>
          <w:b/>
          <w:color w:val="FF0000"/>
          <w:vertAlign w:val="subscript"/>
        </w:rPr>
        <w:t>t</w:t>
      </w:r>
      <w:proofErr w:type="spellEnd"/>
      <w:r>
        <w:rPr>
          <w:rFonts w:ascii="標楷體" w:eastAsia="標楷體" w:hAnsi="標楷體" w:hint="eastAsia"/>
        </w:rPr>
        <w:t>= [(</w:t>
      </w:r>
      <w:proofErr w:type="spellStart"/>
      <w:r>
        <w:rPr>
          <w:rFonts w:ascii="標楷體" w:eastAsia="標楷體" w:hAnsi="標楷體" w:hint="eastAsia"/>
        </w:rPr>
        <w:t>NAV</w:t>
      </w:r>
      <w:r w:rsidRPr="00FD1710">
        <w:rPr>
          <w:rFonts w:ascii="標楷體" w:eastAsia="標楷體" w:hAnsi="標楷體" w:hint="eastAsia"/>
          <w:b/>
          <w:vertAlign w:val="subscript"/>
        </w:rPr>
        <w:t>t</w:t>
      </w:r>
      <w:proofErr w:type="spellEnd"/>
      <w:r>
        <w:rPr>
          <w:rFonts w:ascii="標楷體" w:eastAsia="標楷體" w:hAnsi="標楷體" w:hint="eastAsia"/>
        </w:rPr>
        <w:t xml:space="preserve"> - NAV</w:t>
      </w:r>
      <w:r w:rsidRPr="00FD1710">
        <w:rPr>
          <w:rFonts w:ascii="標楷體" w:eastAsia="標楷體" w:hAnsi="標楷體" w:hint="eastAsia"/>
          <w:sz w:val="22"/>
          <w:vertAlign w:val="subscript"/>
        </w:rPr>
        <w:t>t-1</w:t>
      </w:r>
      <w:r>
        <w:rPr>
          <w:rFonts w:ascii="標楷體" w:eastAsia="標楷體" w:hAnsi="標楷體" w:hint="eastAsia"/>
          <w:sz w:val="22"/>
        </w:rPr>
        <w:t>) /</w:t>
      </w:r>
      <w:r w:rsidRPr="00FD171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NAV</w:t>
      </w:r>
      <w:r w:rsidRPr="00FD1710">
        <w:rPr>
          <w:rFonts w:ascii="標楷體" w:eastAsia="標楷體" w:hAnsi="標楷體" w:hint="eastAsia"/>
          <w:sz w:val="22"/>
          <w:vertAlign w:val="subscript"/>
        </w:rPr>
        <w:t>t-1</w:t>
      </w:r>
      <w:r>
        <w:rPr>
          <w:rFonts w:ascii="標楷體" w:eastAsia="標楷體" w:hAnsi="標楷體" w:hint="eastAsia"/>
          <w:sz w:val="22"/>
        </w:rPr>
        <w:t>]*100%</w:t>
      </w:r>
    </w:p>
    <w:p w:rsidR="00B46829" w:rsidRPr="00CC7014" w:rsidRDefault="00B46829" w:rsidP="00B46829">
      <w:pPr>
        <w:pStyle w:val="a3"/>
        <w:numPr>
          <w:ilvl w:val="0"/>
          <w:numId w:val="1"/>
        </w:numPr>
        <w:ind w:leftChars="0" w:left="993" w:hanging="567"/>
        <w:rPr>
          <w:rFonts w:ascii="標楷體" w:eastAsia="標楷體" w:hAnsi="標楷體"/>
          <w:b/>
          <w:szCs w:val="24"/>
        </w:rPr>
      </w:pPr>
      <w:r w:rsidRPr="00CC7014">
        <w:rPr>
          <w:rFonts w:ascii="標楷體" w:eastAsia="標楷體" w:hAnsi="標楷體" w:hint="eastAsia"/>
          <w:b/>
          <w:szCs w:val="24"/>
        </w:rPr>
        <w:t>"無風險利率"</w:t>
      </w:r>
    </w:p>
    <w:p w:rsidR="00B46829" w:rsidRPr="00CC7014" w:rsidRDefault="00B46829" w:rsidP="00B46829">
      <w:pPr>
        <w:pStyle w:val="a3"/>
        <w:numPr>
          <w:ilvl w:val="0"/>
          <w:numId w:val="2"/>
        </w:numPr>
        <w:ind w:leftChars="0" w:left="1276" w:hanging="426"/>
        <w:rPr>
          <w:rFonts w:ascii="標楷體" w:eastAsia="標楷體" w:hAnsi="標楷體"/>
          <w:szCs w:val="24"/>
        </w:rPr>
      </w:pPr>
      <w:r w:rsidRPr="00CC7014">
        <w:rPr>
          <w:rFonts w:ascii="標楷體" w:eastAsia="標楷體" w:hAnsi="標楷體" w:hint="eastAsia"/>
          <w:szCs w:val="24"/>
        </w:rPr>
        <w:t>使用美國一個月期國庫券殖利率，資料來源為</w:t>
      </w:r>
      <w:r w:rsidRPr="00CC7014">
        <w:rPr>
          <w:rFonts w:ascii="標楷體" w:eastAsia="標楷體" w:hAnsi="標楷體"/>
          <w:szCs w:val="24"/>
        </w:rPr>
        <w:t>U.S. DEPARTMENT OF THE TREASURY</w:t>
      </w:r>
      <w:r w:rsidRPr="00CC7014">
        <w:rPr>
          <w:rFonts w:ascii="標楷體" w:eastAsia="標楷體" w:hAnsi="標楷體" w:hint="eastAsia"/>
          <w:szCs w:val="24"/>
        </w:rPr>
        <w:t>：</w:t>
      </w:r>
    </w:p>
    <w:p w:rsidR="00B46829" w:rsidRPr="00CC7014" w:rsidRDefault="00102CDF" w:rsidP="00B46829">
      <w:pPr>
        <w:pStyle w:val="a3"/>
        <w:ind w:leftChars="0" w:left="1276"/>
        <w:rPr>
          <w:rFonts w:ascii="標楷體" w:eastAsia="標楷體" w:hAnsi="標楷體"/>
          <w:szCs w:val="24"/>
        </w:rPr>
      </w:pPr>
      <w:hyperlink r:id="rId8" w:history="1">
        <w:r w:rsidR="00B46829" w:rsidRPr="00CC7014">
          <w:rPr>
            <w:rStyle w:val="a4"/>
            <w:rFonts w:ascii="標楷體" w:eastAsia="標楷體" w:hAnsi="標楷體"/>
            <w:szCs w:val="24"/>
          </w:rPr>
          <w:t>https://www.treasury.gov/resource-center/data-chart-center/interest-rates/Pages/TextView.aspx?data=yieldYear&amp;year=2016</w:t>
        </w:r>
      </w:hyperlink>
    </w:p>
    <w:p w:rsidR="00302725" w:rsidRPr="00CC7014" w:rsidRDefault="00302725" w:rsidP="00302725">
      <w:pPr>
        <w:pStyle w:val="a3"/>
        <w:numPr>
          <w:ilvl w:val="0"/>
          <w:numId w:val="2"/>
        </w:numPr>
        <w:ind w:leftChars="0" w:left="1276"/>
        <w:rPr>
          <w:rFonts w:ascii="標楷體" w:eastAsia="標楷體" w:hAnsi="標楷體"/>
          <w:szCs w:val="24"/>
        </w:rPr>
      </w:pPr>
      <w:r w:rsidRPr="00CC7014">
        <w:rPr>
          <w:rFonts w:ascii="標楷體" w:eastAsia="標楷體" w:hAnsi="標楷體" w:hint="eastAsia"/>
          <w:szCs w:val="24"/>
        </w:rPr>
        <w:t>抓取2016~2019年日資料檔案如下</w:t>
      </w:r>
      <w:r w:rsidR="009125A3">
        <w:rPr>
          <w:rFonts w:ascii="標楷體" w:eastAsia="標楷體" w:hAnsi="標楷體" w:hint="eastAsia"/>
          <w:szCs w:val="24"/>
        </w:rPr>
        <w:t>連結</w:t>
      </w:r>
      <w:r w:rsidRPr="00CC7014">
        <w:rPr>
          <w:rFonts w:ascii="標楷體" w:eastAsia="標楷體" w:hAnsi="標楷體" w:hint="eastAsia"/>
          <w:szCs w:val="24"/>
        </w:rPr>
        <w:t>(單位為年化%)，換算週、月資料後得到</w:t>
      </w:r>
      <w:r w:rsidRPr="00CC7014">
        <w:rPr>
          <w:rFonts w:ascii="標楷體" w:eastAsia="標楷體" w:hAnsi="標楷體" w:hint="eastAsia"/>
          <w:color w:val="FF0000"/>
          <w:szCs w:val="24"/>
        </w:rPr>
        <w:t xml:space="preserve"> </w:t>
      </w:r>
      <w:proofErr w:type="spellStart"/>
      <w:r w:rsidRPr="00CC7014">
        <w:rPr>
          <w:rFonts w:ascii="標楷體" w:eastAsia="標楷體" w:hAnsi="標楷體" w:hint="eastAsia"/>
          <w:b/>
          <w:color w:val="FF0000"/>
          <w:szCs w:val="24"/>
        </w:rPr>
        <w:t>R</w:t>
      </w:r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>f</w:t>
      </w:r>
      <w:proofErr w:type="spellEnd"/>
    </w:p>
    <w:p w:rsidR="00302725" w:rsidRPr="00CC7014" w:rsidRDefault="00102CDF" w:rsidP="00302725">
      <w:pPr>
        <w:pStyle w:val="a3"/>
        <w:ind w:leftChars="0" w:left="1276"/>
        <w:rPr>
          <w:rFonts w:ascii="標楷體" w:eastAsia="標楷體" w:hAnsi="標楷體"/>
          <w:szCs w:val="24"/>
        </w:rPr>
      </w:pPr>
      <w:hyperlink r:id="rId9" w:history="1">
        <w:r w:rsidR="00302725" w:rsidRPr="00CC7014">
          <w:rPr>
            <w:rStyle w:val="a4"/>
            <w:rFonts w:ascii="標楷體" w:eastAsia="標楷體" w:hAnsi="標楷體"/>
            <w:szCs w:val="24"/>
          </w:rPr>
          <w:t>https://github.com/leo08260826/Fintech_HW/tree/Angel/HW4/Reskless%20rate</w:t>
        </w:r>
      </w:hyperlink>
    </w:p>
    <w:p w:rsidR="00302725" w:rsidRPr="0058527E" w:rsidRDefault="00B46829" w:rsidP="00B46829">
      <w:pPr>
        <w:pStyle w:val="a3"/>
        <w:numPr>
          <w:ilvl w:val="0"/>
          <w:numId w:val="1"/>
        </w:numPr>
        <w:ind w:leftChars="0" w:left="993" w:hanging="567"/>
        <w:rPr>
          <w:rFonts w:ascii="標楷體" w:eastAsia="標楷體" w:hAnsi="標楷體"/>
          <w:b/>
          <w:szCs w:val="24"/>
        </w:rPr>
      </w:pPr>
      <w:r w:rsidRPr="00CC7014">
        <w:rPr>
          <w:rFonts w:ascii="標楷體" w:eastAsia="標楷體" w:hAnsi="標楷體" w:hint="eastAsia"/>
          <w:b/>
          <w:szCs w:val="24"/>
        </w:rPr>
        <w:t>"週</w:t>
      </w:r>
      <w:r w:rsidRPr="00CC7014">
        <w:rPr>
          <w:rFonts w:ascii="標楷體" w:eastAsia="標楷體" w:hAnsi="標楷體" w:hint="eastAsia"/>
          <w:b/>
          <w:color w:val="FF0000"/>
          <w:szCs w:val="24"/>
        </w:rPr>
        <w:t>超額</w:t>
      </w:r>
      <w:r w:rsidRPr="00CC7014">
        <w:rPr>
          <w:rFonts w:ascii="標楷體" w:eastAsia="標楷體" w:hAnsi="標楷體" w:hint="eastAsia"/>
          <w:b/>
          <w:szCs w:val="24"/>
        </w:rPr>
        <w:t>報酬率" 及 "月</w:t>
      </w:r>
      <w:r w:rsidRPr="00CC7014">
        <w:rPr>
          <w:rFonts w:ascii="標楷體" w:eastAsia="標楷體" w:hAnsi="標楷體" w:hint="eastAsia"/>
          <w:b/>
          <w:color w:val="FF0000"/>
          <w:szCs w:val="24"/>
        </w:rPr>
        <w:t>超額</w:t>
      </w:r>
      <w:r w:rsidRPr="00CC7014">
        <w:rPr>
          <w:rFonts w:ascii="標楷體" w:eastAsia="標楷體" w:hAnsi="標楷體" w:hint="eastAsia"/>
          <w:b/>
          <w:szCs w:val="24"/>
        </w:rPr>
        <w:t>報率"</w:t>
      </w:r>
      <w:r w:rsidR="0058527E">
        <w:rPr>
          <w:rFonts w:ascii="標楷體" w:eastAsia="標楷體" w:hAnsi="標楷體" w:hint="eastAsia"/>
          <w:b/>
          <w:szCs w:val="24"/>
        </w:rPr>
        <w:t xml:space="preserve"> </w:t>
      </w:r>
      <w:r w:rsidR="0058527E" w:rsidRPr="0058527E">
        <w:rPr>
          <w:rFonts w:ascii="標楷體" w:eastAsia="標楷體" w:hAnsi="標楷體" w:hint="eastAsia"/>
          <w:b/>
          <w:szCs w:val="24"/>
        </w:rPr>
        <w:t>→</w:t>
      </w:r>
      <w:r w:rsidR="0058527E">
        <w:rPr>
          <w:rFonts w:ascii="標楷體" w:eastAsia="標楷體" w:hAnsi="標楷體" w:hint="eastAsia"/>
          <w:b/>
          <w:szCs w:val="24"/>
        </w:rPr>
        <w:t xml:space="preserve"> 主要以此項進行指標的計算</w:t>
      </w:r>
    </w:p>
    <w:p w:rsidR="00CC7014" w:rsidRPr="00CC7014" w:rsidRDefault="00302725" w:rsidP="00CC701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b/>
          <w:szCs w:val="24"/>
        </w:rPr>
      </w:pPr>
      <w:r w:rsidRPr="00CC7014">
        <w:rPr>
          <w:rFonts w:ascii="標楷體" w:eastAsia="標楷體" w:hAnsi="標楷體" w:hint="eastAsia"/>
          <w:szCs w:val="24"/>
        </w:rPr>
        <w:t xml:space="preserve">t期excess return </w:t>
      </w:r>
      <w:proofErr w:type="spellStart"/>
      <w:r w:rsidRPr="00CC7014">
        <w:rPr>
          <w:rFonts w:ascii="標楷體" w:eastAsia="標楷體" w:hAnsi="標楷體" w:hint="eastAsia"/>
          <w:b/>
          <w:color w:val="FF0000"/>
          <w:szCs w:val="24"/>
        </w:rPr>
        <w:t>eR</w:t>
      </w:r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>t</w:t>
      </w:r>
      <w:proofErr w:type="spellEnd"/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 xml:space="preserve"> </w:t>
      </w:r>
      <w:r w:rsidRPr="00CC7014">
        <w:rPr>
          <w:rFonts w:ascii="標楷體" w:eastAsia="標楷體" w:hAnsi="標楷體" w:hint="eastAsia"/>
          <w:b/>
          <w:szCs w:val="24"/>
        </w:rPr>
        <w:t xml:space="preserve">= </w:t>
      </w:r>
      <w:proofErr w:type="spellStart"/>
      <w:r w:rsidRPr="00CC7014">
        <w:rPr>
          <w:rFonts w:ascii="標楷體" w:eastAsia="標楷體" w:hAnsi="標楷體" w:hint="eastAsia"/>
          <w:b/>
          <w:color w:val="FF0000"/>
          <w:szCs w:val="24"/>
        </w:rPr>
        <w:t>R</w:t>
      </w:r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>t</w:t>
      </w:r>
      <w:proofErr w:type="spellEnd"/>
      <w:r w:rsidRPr="00CC7014">
        <w:rPr>
          <w:rFonts w:ascii="標楷體" w:eastAsia="標楷體" w:hAnsi="標楷體" w:hint="eastAsia"/>
          <w:b/>
          <w:szCs w:val="24"/>
        </w:rPr>
        <w:t xml:space="preserve"> - </w:t>
      </w:r>
      <w:proofErr w:type="spellStart"/>
      <w:r w:rsidRPr="00CC7014">
        <w:rPr>
          <w:rFonts w:ascii="標楷體" w:eastAsia="標楷體" w:hAnsi="標楷體" w:hint="eastAsia"/>
          <w:b/>
          <w:color w:val="FF0000"/>
          <w:szCs w:val="24"/>
        </w:rPr>
        <w:t>R</w:t>
      </w:r>
      <w:r w:rsidRPr="00CC7014">
        <w:rPr>
          <w:rFonts w:ascii="標楷體" w:eastAsia="標楷體" w:hAnsi="標楷體" w:hint="eastAsia"/>
          <w:b/>
          <w:color w:val="FF0000"/>
          <w:szCs w:val="24"/>
          <w:vertAlign w:val="subscript"/>
        </w:rPr>
        <w:t>f</w:t>
      </w:r>
      <w:proofErr w:type="spellEnd"/>
    </w:p>
    <w:p w:rsidR="00EF46F2" w:rsidRPr="00313765" w:rsidRDefault="00CC7014" w:rsidP="009A43B5">
      <w:pPr>
        <w:pStyle w:val="a3"/>
        <w:numPr>
          <w:ilvl w:val="0"/>
          <w:numId w:val="6"/>
        </w:numPr>
        <w:spacing w:beforeLines="50" w:afterLines="50"/>
        <w:ind w:leftChars="0" w:left="482" w:hanging="482"/>
        <w:rPr>
          <w:rFonts w:ascii="標楷體" w:eastAsia="標楷體" w:hAnsi="標楷體"/>
          <w:b/>
        </w:rPr>
      </w:pPr>
      <w:r w:rsidRPr="00313765">
        <w:rPr>
          <w:rFonts w:ascii="標楷體" w:eastAsia="標楷體" w:hAnsi="標楷體" w:hint="eastAsia"/>
          <w:b/>
        </w:rPr>
        <w:t>指標A</w:t>
      </w:r>
    </w:p>
    <w:p w:rsidR="00CC7014" w:rsidRPr="00EF46F2" w:rsidRDefault="00CC7014" w:rsidP="00EF46F2">
      <w:pPr>
        <w:pStyle w:val="a3"/>
        <w:ind w:leftChars="0"/>
        <w:rPr>
          <w:rFonts w:ascii="標楷體" w:eastAsia="標楷體" w:hAnsi="標楷體"/>
          <w:b/>
          <w:color w:val="3333FF"/>
          <w:szCs w:val="24"/>
        </w:rPr>
      </w:pPr>
      <w:r w:rsidRPr="00EF46F2">
        <w:rPr>
          <w:rFonts w:ascii="標楷體" w:eastAsia="標楷體" w:hAnsi="標楷體"/>
          <w:b/>
          <w:color w:val="3333FF"/>
          <w:szCs w:val="24"/>
        </w:rPr>
        <w:t xml:space="preserve">2009_JBF_Portfolio performance evaluation with generalized Sharpe </w:t>
      </w:r>
      <w:proofErr w:type="spellStart"/>
      <w:r w:rsidRPr="00EF46F2">
        <w:rPr>
          <w:rFonts w:ascii="標楷體" w:eastAsia="標楷體" w:hAnsi="標楷體"/>
          <w:b/>
          <w:color w:val="3333FF"/>
          <w:szCs w:val="24"/>
        </w:rPr>
        <w:t>ratios_ASKSR</w:t>
      </w:r>
      <w:proofErr w:type="spellEnd"/>
      <w:r w:rsidRPr="00EF46F2">
        <w:rPr>
          <w:rFonts w:ascii="標楷體" w:eastAsia="標楷體" w:hAnsi="標楷體"/>
          <w:b/>
          <w:color w:val="3333FF"/>
          <w:szCs w:val="24"/>
        </w:rPr>
        <w:t>: 請用第38式</w:t>
      </w:r>
    </w:p>
    <w:p w:rsidR="00EF46F2" w:rsidRDefault="00313765" w:rsidP="00313765">
      <w:pPr>
        <w:pStyle w:val="Default"/>
        <w:spacing w:after="130"/>
        <w:ind w:leftChars="177" w:left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807075" cy="2484120"/>
            <wp:effectExtent l="1905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65" w:rsidRDefault="004C2CFB" w:rsidP="00313765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color w:val="C00000"/>
        </w:rPr>
        <w:t>要使用(38)式算出老師要求的結果，則需要(37)式及算式中各個變數來源</w:t>
      </w:r>
    </w:p>
    <w:p w:rsidR="004C2CFB" w:rsidRPr="004C2CFB" w:rsidRDefault="004C2CFB" w:rsidP="004C2CFB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color w:val="C00000"/>
        </w:rPr>
        <w:t>如果遇到根號內為負值的情況則以(20</w:t>
      </w:r>
      <w:r w:rsidRPr="004C2CFB">
        <w:rPr>
          <w:rFonts w:ascii="標楷體" w:eastAsia="標楷體" w:hAnsi="標楷體" w:hint="eastAsia"/>
          <w:color w:val="C00000"/>
        </w:rPr>
        <w:t>)</w:t>
      </w:r>
      <w:r>
        <w:rPr>
          <w:rFonts w:ascii="標楷體" w:eastAsia="標楷體" w:hAnsi="標楷體" w:hint="eastAsia"/>
          <w:color w:val="C00000"/>
        </w:rPr>
        <w:t>式解決</w:t>
      </w:r>
    </w:p>
    <w:p w:rsidR="004C2CFB" w:rsidRDefault="004C2CFB" w:rsidP="004C2CFB">
      <w:pPr>
        <w:pStyle w:val="Default"/>
        <w:spacing w:after="130"/>
        <w:ind w:left="65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lastRenderedPageBreak/>
        <w:drawing>
          <wp:inline distT="0" distB="0" distL="0" distR="0">
            <wp:extent cx="5752465" cy="1753870"/>
            <wp:effectExtent l="19050" t="0" r="63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34B" w:rsidRDefault="00AF734B" w:rsidP="004C2CFB">
      <w:pPr>
        <w:pStyle w:val="Default"/>
        <w:spacing w:after="130"/>
        <w:ind w:left="654"/>
        <w:rPr>
          <w:rFonts w:ascii="標楷體" w:eastAsia="標楷體" w:hAnsi="標楷體"/>
          <w:color w:val="C00000"/>
        </w:rPr>
      </w:pPr>
      <w:r w:rsidRPr="00AF734B"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4838065" cy="941705"/>
            <wp:effectExtent l="19050" t="0" r="635" b="0"/>
            <wp:docPr id="5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FB" w:rsidRDefault="00102CDF" w:rsidP="00313765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/>
          <w:color w:val="C00000"/>
        </w:rPr>
      </w:pPr>
      <m:oMath>
        <m:sSub>
          <m:sSubPr>
            <m:ctrlPr>
              <w:rPr>
                <w:rFonts w:ascii="Cambria Math" w:eastAsia="標楷體" w:hAnsi="Cambria Math"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x</m:t>
            </m:r>
          </m:sub>
        </m:sSub>
      </m:oMath>
      <w:r w:rsidR="004C2CFB">
        <w:rPr>
          <w:rFonts w:ascii="標楷體" w:eastAsia="標楷體" w:hAnsi="標楷體" w:hint="eastAsia"/>
          <w:color w:val="C00000"/>
        </w:rPr>
        <w:t xml:space="preserve"> = 該支ETF週/月超額報酬率的期望值(平均數)</w:t>
      </w:r>
    </w:p>
    <w:p w:rsidR="004C2CFB" w:rsidRDefault="00102CDF" w:rsidP="00313765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/>
          <w:color w:val="C00000"/>
        </w:rPr>
      </w:pPr>
      <m:oMath>
        <m:sSubSup>
          <m:sSubSupPr>
            <m:ctrlPr>
              <w:rPr>
                <w:rFonts w:ascii="Cambria Math" w:eastAsia="標楷體" w:hAnsi="Cambria Math"/>
                <w:color w:val="C00000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2</m:t>
            </m:r>
          </m:sup>
        </m:sSubSup>
      </m:oMath>
      <w:r w:rsidR="004C2CFB">
        <w:rPr>
          <w:rFonts w:ascii="標楷體" w:eastAsia="標楷體" w:hAnsi="標楷體" w:hint="eastAsia"/>
          <w:color w:val="C00000"/>
        </w:rPr>
        <w:t xml:space="preserve"> =該支ETF週/月超額報酬率的變異數</w:t>
      </w:r>
    </w:p>
    <w:p w:rsidR="004C2CFB" w:rsidRDefault="004C2CFB" w:rsidP="00313765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color w:val="C00000"/>
        </w:rPr>
        <w:t xml:space="preserve">S = Skew[X] = </w:t>
      </w:r>
      <w:r w:rsidR="00AB7E8B">
        <w:rPr>
          <w:rFonts w:ascii="標楷體" w:eastAsia="標楷體" w:hAnsi="標楷體" w:hint="eastAsia"/>
          <w:color w:val="C00000"/>
        </w:rPr>
        <w:t>該支ETF週/月超額報酬率分布的偏</w:t>
      </w:r>
      <w:r w:rsidR="00AF734B">
        <w:rPr>
          <w:rFonts w:ascii="標楷體" w:eastAsia="標楷體" w:hAnsi="標楷體" w:hint="eastAsia"/>
          <w:color w:val="C00000"/>
        </w:rPr>
        <w:t>度 (Python應該有內建計算的功能)</w:t>
      </w:r>
    </w:p>
    <w:p w:rsidR="00AB7E8B" w:rsidRDefault="00AB7E8B" w:rsidP="00AB7E8B">
      <w:pPr>
        <w:pStyle w:val="Default"/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4544695" cy="607060"/>
            <wp:effectExtent l="19050" t="0" r="825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8B" w:rsidRDefault="00AB7E8B" w:rsidP="00AB7E8B">
      <w:pPr>
        <w:pStyle w:val="Default"/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5602605" cy="600710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8B" w:rsidRPr="00AB7E8B" w:rsidRDefault="00AB7E8B" w:rsidP="00AB7E8B">
      <w:pPr>
        <w:pStyle w:val="Default"/>
        <w:spacing w:after="130"/>
        <w:ind w:left="1134"/>
        <w:jc w:val="right"/>
        <w:rPr>
          <w:rFonts w:ascii="標楷體" w:eastAsia="標楷體" w:hAnsi="標楷體"/>
          <w:color w:val="auto"/>
        </w:rPr>
      </w:pPr>
      <w:r w:rsidRPr="00AB7E8B">
        <w:rPr>
          <w:rFonts w:ascii="標楷體" w:eastAsia="標楷體" w:hAnsi="標楷體" w:hint="eastAsia"/>
          <w:color w:val="auto"/>
        </w:rPr>
        <w:t>(</w:t>
      </w:r>
      <w:hyperlink r:id="rId15" w:history="1">
        <w:r w:rsidRPr="00AB7E8B">
          <w:rPr>
            <w:rStyle w:val="a4"/>
            <w:rFonts w:ascii="標楷體" w:eastAsia="標楷體" w:hAnsi="標楷體"/>
            <w:color w:val="auto"/>
          </w:rPr>
          <w:t>https://zh.wikipedia.org/wiki/%E5%81%8F%E5%BA%A6</w:t>
        </w:r>
      </w:hyperlink>
      <w:r w:rsidRPr="00AB7E8B">
        <w:rPr>
          <w:rFonts w:ascii="標楷體" w:eastAsia="標楷體" w:hAnsi="標楷體" w:hint="eastAsia"/>
          <w:color w:val="auto"/>
        </w:rPr>
        <w:t>)</w:t>
      </w:r>
    </w:p>
    <w:p w:rsidR="00AB7E8B" w:rsidRPr="00AF734B" w:rsidRDefault="00AB7E8B" w:rsidP="00AF734B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color w:val="C00000"/>
        </w:rPr>
        <w:t>K = Kurt[X] =該支ETF週/月超額報酬率分布的峰</w:t>
      </w:r>
      <w:r w:rsidR="00AF734B">
        <w:rPr>
          <w:rFonts w:ascii="標楷體" w:eastAsia="標楷體" w:hAnsi="標楷體" w:hint="eastAsia"/>
          <w:color w:val="C00000"/>
        </w:rPr>
        <w:t>度 (Python應該有內建計算的功能)</w:t>
      </w:r>
      <w:r w:rsidR="00AF734B" w:rsidRPr="00AF734B">
        <w:rPr>
          <w:rFonts w:ascii="標楷體" w:eastAsia="標楷體" w:hAnsi="標楷體" w:hint="eastAsia"/>
          <w:color w:val="C00000"/>
        </w:rPr>
        <w:t xml:space="preserve"> </w:t>
      </w:r>
    </w:p>
    <w:p w:rsidR="00AF734B" w:rsidRDefault="00AF734B" w:rsidP="00AF734B">
      <w:pPr>
        <w:pStyle w:val="Default"/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1883410" cy="593725"/>
            <wp:effectExtent l="1905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34B" w:rsidRDefault="00AF734B" w:rsidP="00AF734B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color w:val="C00000"/>
        </w:rPr>
        <w:t>算出</w:t>
      </w:r>
      <m:oMath>
        <m:sSub>
          <m:sSubPr>
            <m:ctrlPr>
              <w:rPr>
                <w:rFonts w:ascii="Cambria Math" w:eastAsia="標楷體" w:hAnsi="Cambria Math"/>
                <w:color w:val="C0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x</m:t>
            </m:r>
          </m:sub>
        </m:sSub>
      </m:oMath>
      <w:r>
        <w:rPr>
          <w:rFonts w:ascii="標楷體" w:eastAsia="標楷體" w:hAnsi="標楷體" w:hint="eastAsia"/>
          <w:color w:val="C00000"/>
        </w:rPr>
        <w:t>、</w:t>
      </w:r>
      <m:oMath>
        <m:sSubSup>
          <m:sSubSupPr>
            <m:ctrlPr>
              <w:rPr>
                <w:rFonts w:ascii="Cambria Math" w:eastAsia="標楷體" w:hAnsi="Cambria Math"/>
                <w:color w:val="C00000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color w:val="C00000"/>
              </w:rPr>
              <m:t>2</m:t>
            </m:r>
          </m:sup>
        </m:sSubSup>
      </m:oMath>
      <w:r>
        <w:rPr>
          <w:rFonts w:ascii="標楷體" w:eastAsia="標楷體" w:hAnsi="標楷體" w:hint="eastAsia"/>
          <w:color w:val="C00000"/>
        </w:rPr>
        <w:t>、S、K後代入下圖公式得 α、β、η、δ、φ，代回(38)式得解</w:t>
      </w:r>
    </w:p>
    <w:p w:rsidR="004C2CFB" w:rsidRDefault="004C2CFB" w:rsidP="004C2CFB">
      <w:pPr>
        <w:pStyle w:val="Default"/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noProof/>
          <w:color w:val="C00000"/>
        </w:rPr>
        <w:drawing>
          <wp:inline distT="0" distB="0" distL="0" distR="0">
            <wp:extent cx="3439160" cy="969010"/>
            <wp:effectExtent l="1905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FB" w:rsidRDefault="004C2CFB" w:rsidP="004C2CFB">
      <w:pPr>
        <w:pStyle w:val="Default"/>
        <w:spacing w:after="130"/>
        <w:ind w:left="1134"/>
        <w:rPr>
          <w:rFonts w:ascii="標楷體" w:eastAsia="標楷體" w:hAnsi="標楷體" w:hint="eastAsia"/>
          <w:color w:val="C00000"/>
        </w:rPr>
      </w:pPr>
      <w:r w:rsidRPr="004C2CFB">
        <w:rPr>
          <w:rFonts w:ascii="標楷體" w:eastAsia="標楷體" w:hAnsi="標楷體" w:hint="eastAsia"/>
          <w:noProof/>
          <w:color w:val="C00000"/>
        </w:rPr>
        <w:lastRenderedPageBreak/>
        <w:drawing>
          <wp:inline distT="0" distB="0" distL="0" distR="0">
            <wp:extent cx="1521460" cy="600710"/>
            <wp:effectExtent l="19050" t="0" r="2540" b="0"/>
            <wp:docPr id="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3B5" w:rsidRPr="009A43B5" w:rsidRDefault="009A43B5" w:rsidP="004C2CFB">
      <w:pPr>
        <w:pStyle w:val="Default"/>
        <w:numPr>
          <w:ilvl w:val="0"/>
          <w:numId w:val="8"/>
        </w:numPr>
        <w:spacing w:after="130"/>
        <w:ind w:left="1134"/>
        <w:rPr>
          <w:rFonts w:ascii="標楷體" w:eastAsia="標楷體" w:hAnsi="標楷體"/>
          <w:color w:val="C00000"/>
        </w:rPr>
      </w:pPr>
      <w:r>
        <w:rPr>
          <w:rFonts w:ascii="標楷體" w:eastAsia="標楷體" w:hAnsi="標楷體" w:hint="eastAsia"/>
          <w:color w:val="C00000"/>
        </w:rPr>
        <w:t>代入38式後37式的</w:t>
      </w:r>
      <m:oMath>
        <m:r>
          <m:rPr>
            <m:sty m:val="p"/>
          </m:rPr>
          <w:rPr>
            <w:rFonts w:ascii="Cambria Math" w:eastAsia="標楷體" w:hAnsi="Cambria Math" w:hint="eastAsia"/>
            <w:color w:val="C00000"/>
          </w:rPr>
          <m:t>λ</m:t>
        </m:r>
      </m:oMath>
      <w:r>
        <w:rPr>
          <w:rFonts w:ascii="標楷體" w:eastAsia="標楷體" w:hAnsi="標楷體" w:hint="eastAsia"/>
          <w:color w:val="C00000"/>
        </w:rPr>
        <w:t>會消掉，暫不理它</w:t>
      </w:r>
    </w:p>
    <w:p w:rsidR="00EF46F2" w:rsidRPr="00313765" w:rsidRDefault="00EF46F2" w:rsidP="009A43B5">
      <w:pPr>
        <w:pStyle w:val="a3"/>
        <w:numPr>
          <w:ilvl w:val="0"/>
          <w:numId w:val="6"/>
        </w:numPr>
        <w:spacing w:beforeLines="50" w:afterLines="50"/>
        <w:ind w:leftChars="0" w:left="482" w:hanging="482"/>
        <w:rPr>
          <w:rFonts w:ascii="標楷體" w:eastAsia="標楷體" w:hAnsi="標楷體"/>
          <w:b/>
        </w:rPr>
      </w:pPr>
      <w:r w:rsidRPr="00313765">
        <w:rPr>
          <w:rFonts w:ascii="標楷體" w:eastAsia="標楷體" w:hAnsi="標楷體" w:hint="eastAsia"/>
          <w:b/>
        </w:rPr>
        <w:t>指標B</w:t>
      </w:r>
    </w:p>
    <w:p w:rsidR="00CC7014" w:rsidRDefault="00CC7014" w:rsidP="00EF46F2">
      <w:pPr>
        <w:pStyle w:val="a3"/>
        <w:ind w:leftChars="0"/>
        <w:rPr>
          <w:rFonts w:ascii="標楷體" w:eastAsia="標楷體" w:hAnsi="標楷體"/>
          <w:b/>
          <w:color w:val="3333FF"/>
          <w:szCs w:val="24"/>
        </w:rPr>
      </w:pPr>
      <w:r w:rsidRPr="00EF46F2">
        <w:rPr>
          <w:rFonts w:ascii="標楷體" w:eastAsia="標楷體" w:hAnsi="標楷體"/>
          <w:b/>
          <w:color w:val="3333FF"/>
          <w:szCs w:val="24"/>
        </w:rPr>
        <w:t>2011_JBF_Omega performance measure and portfolio insurance: 請用第8式，L＝無風險利率</w:t>
      </w:r>
    </w:p>
    <w:p w:rsidR="0058527E" w:rsidRDefault="0058527E" w:rsidP="00EF46F2">
      <w:pPr>
        <w:pStyle w:val="a3"/>
        <w:ind w:leftChars="0"/>
        <w:rPr>
          <w:rFonts w:ascii="標楷體" w:eastAsia="標楷體" w:hAnsi="標楷體" w:hint="eastAsia"/>
          <w:b/>
          <w:color w:val="3333FF"/>
          <w:szCs w:val="24"/>
        </w:rPr>
      </w:pPr>
      <w:r>
        <w:rPr>
          <w:rFonts w:ascii="標楷體" w:eastAsia="標楷體" w:hAnsi="標楷體" w:hint="eastAsia"/>
          <w:b/>
          <w:noProof/>
          <w:color w:val="3333FF"/>
          <w:szCs w:val="24"/>
        </w:rPr>
        <w:drawing>
          <wp:inline distT="0" distB="0" distL="0" distR="0">
            <wp:extent cx="5973378" cy="1862919"/>
            <wp:effectExtent l="19050" t="0" r="8322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-18" b="3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78" cy="186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3B5" w:rsidRPr="009A43B5" w:rsidRDefault="009A43B5" w:rsidP="00EF46F2">
      <w:pPr>
        <w:pStyle w:val="a3"/>
        <w:ind w:leftChars="0"/>
        <w:rPr>
          <w:rFonts w:ascii="標楷體" w:eastAsia="標楷體" w:hAnsi="標楷體" w:hint="eastAsia"/>
          <w:b/>
          <w:color w:val="C00000"/>
          <w:szCs w:val="24"/>
        </w:rPr>
      </w:pPr>
      <w:proofErr w:type="spellStart"/>
      <w:r w:rsidRPr="009A43B5">
        <w:rPr>
          <w:rFonts w:ascii="標楷體" w:eastAsia="標楷體" w:hAnsi="標楷體" w:hint="eastAsia"/>
          <w:b/>
          <w:color w:val="C00000"/>
          <w:szCs w:val="24"/>
        </w:rPr>
        <w:t>Kazemi</w:t>
      </w:r>
      <w:proofErr w:type="spellEnd"/>
      <w:r w:rsidRPr="009A43B5">
        <w:rPr>
          <w:rFonts w:ascii="標楷體" w:eastAsia="標楷體" w:hAnsi="標楷體" w:hint="eastAsia"/>
          <w:b/>
          <w:color w:val="C00000"/>
          <w:szCs w:val="24"/>
        </w:rPr>
        <w:t xml:space="preserve"> et al.(2004)：</w:t>
      </w:r>
    </w:p>
    <w:p w:rsidR="009A43B5" w:rsidRDefault="009A43B5" w:rsidP="00EF46F2">
      <w:pPr>
        <w:pStyle w:val="a3"/>
        <w:ind w:leftChars="0"/>
        <w:rPr>
          <w:rFonts w:ascii="標楷體" w:eastAsia="標楷體" w:hAnsi="標楷體"/>
          <w:b/>
          <w:color w:val="3333FF"/>
          <w:szCs w:val="24"/>
        </w:rPr>
      </w:pPr>
      <w:r>
        <w:rPr>
          <w:rFonts w:ascii="標楷體" w:eastAsia="標楷體" w:hAnsi="標楷體"/>
          <w:b/>
          <w:noProof/>
          <w:color w:val="3333FF"/>
          <w:szCs w:val="24"/>
        </w:rPr>
        <w:pict>
          <v:rect id="_x0000_s1027" style="position:absolute;left:0;text-align:left;margin-left:57.75pt;margin-top:55.05pt;width:115.55pt;height:40.3pt;z-index:251658240" filled="f" strokecolor="red"/>
        </w:pict>
      </w:r>
      <w:r>
        <w:rPr>
          <w:rFonts w:ascii="標楷體" w:eastAsia="標楷體" w:hAnsi="標楷體"/>
          <w:b/>
          <w:noProof/>
          <w:color w:val="3333FF"/>
          <w:szCs w:val="24"/>
        </w:rPr>
        <w:drawing>
          <wp:inline distT="0" distB="0" distL="0" distR="0">
            <wp:extent cx="2722880" cy="1753870"/>
            <wp:effectExtent l="1905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BF" w:rsidRDefault="00DE4C95" w:rsidP="00EF46F2">
      <w:pPr>
        <w:pStyle w:val="a3"/>
        <w:ind w:leftChars="0"/>
        <w:rPr>
          <w:rFonts w:ascii="標楷體" w:eastAsia="標楷體" w:hAnsi="標楷體"/>
          <w:b/>
          <w:color w:val="FF0000"/>
          <w:szCs w:val="24"/>
        </w:rPr>
      </w:pPr>
      <w:r>
        <w:rPr>
          <w:rFonts w:ascii="標楷體" w:eastAsia="標楷體" w:hAnsi="標楷體" w:hint="eastAsia"/>
          <w:b/>
          <w:noProof/>
          <w:color w:val="FF0000"/>
          <w:szCs w:val="24"/>
        </w:rPr>
        <w:drawing>
          <wp:inline distT="0" distB="0" distL="0" distR="0">
            <wp:extent cx="5772785" cy="214249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CF" w:rsidRDefault="0058527E" w:rsidP="00766CBF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/>
          <w:b/>
          <w:color w:val="C00000"/>
          <w:szCs w:val="24"/>
        </w:rPr>
      </w:pPr>
      <w:r w:rsidRPr="00766CBF">
        <w:rPr>
          <w:rFonts w:ascii="標楷體" w:eastAsia="標楷體" w:hAnsi="標楷體" w:hint="eastAsia"/>
          <w:b/>
          <w:color w:val="C00000"/>
          <w:szCs w:val="24"/>
        </w:rPr>
        <w:t>上(7)式中，X=週/月報酬率</w:t>
      </w:r>
      <w:proofErr w:type="spellStart"/>
      <w:r w:rsidRPr="00766CBF">
        <w:rPr>
          <w:rFonts w:ascii="標楷體" w:eastAsia="標楷體" w:hAnsi="標楷體" w:hint="eastAsia"/>
          <w:b/>
          <w:color w:val="C00000"/>
          <w:szCs w:val="24"/>
        </w:rPr>
        <w:t>R</w:t>
      </w:r>
      <w:r w:rsidRPr="00766CBF">
        <w:rPr>
          <w:rFonts w:ascii="標楷體" w:eastAsia="標楷體" w:hAnsi="標楷體" w:hint="eastAsia"/>
          <w:b/>
          <w:color w:val="C00000"/>
          <w:szCs w:val="24"/>
          <w:vertAlign w:val="subscript"/>
        </w:rPr>
        <w:t>t</w:t>
      </w:r>
      <w:proofErr w:type="spellEnd"/>
      <w:r w:rsidRPr="00766CBF">
        <w:rPr>
          <w:rFonts w:ascii="標楷體" w:eastAsia="標楷體" w:hAnsi="標楷體" w:hint="eastAsia"/>
          <w:b/>
          <w:color w:val="C00000"/>
          <w:szCs w:val="24"/>
          <w:vertAlign w:val="subscript"/>
        </w:rPr>
        <w:t xml:space="preserve"> </w:t>
      </w:r>
      <w:r w:rsidRPr="00766CBF">
        <w:rPr>
          <w:rFonts w:ascii="標楷體" w:eastAsia="標楷體" w:hAnsi="標楷體" w:hint="eastAsia"/>
          <w:b/>
          <w:color w:val="C00000"/>
          <w:szCs w:val="24"/>
        </w:rPr>
        <w:t xml:space="preserve">(t=1,2,...,n)，L=無風險利率 </w:t>
      </w:r>
      <w:proofErr w:type="spellStart"/>
      <w:r w:rsidRPr="00766CBF">
        <w:rPr>
          <w:rFonts w:ascii="標楷體" w:eastAsia="標楷體" w:hAnsi="標楷體" w:hint="eastAsia"/>
          <w:b/>
          <w:color w:val="C00000"/>
          <w:szCs w:val="24"/>
        </w:rPr>
        <w:t>R</w:t>
      </w:r>
      <w:r w:rsidR="00A525B1" w:rsidRPr="00766CBF">
        <w:rPr>
          <w:rFonts w:ascii="標楷體" w:eastAsia="標楷體" w:hAnsi="標楷體" w:hint="eastAsia"/>
          <w:b/>
          <w:color w:val="C00000"/>
          <w:szCs w:val="24"/>
          <w:vertAlign w:val="subscript"/>
        </w:rPr>
        <w:t>f</w:t>
      </w:r>
      <w:proofErr w:type="spellEnd"/>
      <w:r w:rsidR="00A525B1" w:rsidRPr="00766CBF">
        <w:rPr>
          <w:rFonts w:ascii="標楷體" w:eastAsia="標楷體" w:hAnsi="標楷體" w:hint="eastAsia"/>
          <w:b/>
          <w:color w:val="C00000"/>
          <w:szCs w:val="24"/>
        </w:rPr>
        <w:t>，帶入後分子求獲利</w:t>
      </w:r>
      <w:r w:rsidR="005E293F">
        <w:rPr>
          <w:rFonts w:ascii="標楷體" w:eastAsia="標楷體" w:hAnsi="標楷體" w:hint="eastAsia"/>
          <w:b/>
          <w:color w:val="C00000"/>
          <w:szCs w:val="24"/>
        </w:rPr>
        <w:t>情況下</w:t>
      </w:r>
      <w:r w:rsidR="005E293F" w:rsidRPr="00766CBF">
        <w:rPr>
          <w:rFonts w:ascii="標楷體" w:eastAsia="標楷體" w:hAnsi="標楷體" w:hint="eastAsia"/>
          <w:b/>
          <w:color w:val="C00000"/>
          <w:szCs w:val="24"/>
        </w:rPr>
        <w:t>(X&gt;L時)</w:t>
      </w:r>
      <w:r w:rsidR="00A525B1" w:rsidRPr="00766CBF">
        <w:rPr>
          <w:rFonts w:ascii="標楷體" w:eastAsia="標楷體" w:hAnsi="標楷體" w:hint="eastAsia"/>
          <w:b/>
          <w:color w:val="C00000"/>
          <w:szCs w:val="24"/>
        </w:rPr>
        <w:t>的期望值，分母求損失</w:t>
      </w:r>
      <w:r w:rsidR="005E293F">
        <w:rPr>
          <w:rFonts w:ascii="標楷體" w:eastAsia="標楷體" w:hAnsi="標楷體" w:hint="eastAsia"/>
          <w:b/>
          <w:color w:val="C00000"/>
          <w:szCs w:val="24"/>
        </w:rPr>
        <w:t>情況下</w:t>
      </w:r>
      <w:r w:rsidR="00A525B1" w:rsidRPr="00766CBF">
        <w:rPr>
          <w:rFonts w:ascii="標楷體" w:eastAsia="標楷體" w:hAnsi="標楷體" w:hint="eastAsia"/>
          <w:b/>
          <w:color w:val="C00000"/>
          <w:szCs w:val="24"/>
        </w:rPr>
        <w:t>的期望值</w:t>
      </w:r>
      <w:r w:rsidR="009A43B5">
        <w:rPr>
          <w:rFonts w:ascii="標楷體" w:eastAsia="標楷體" w:hAnsi="標楷體" w:hint="eastAsia"/>
          <w:b/>
          <w:color w:val="C00000"/>
          <w:szCs w:val="24"/>
        </w:rPr>
        <w:t>(L&gt;</w:t>
      </w:r>
      <w:r w:rsidR="00A525B1" w:rsidRPr="00766CBF">
        <w:rPr>
          <w:rFonts w:ascii="標楷體" w:eastAsia="標楷體" w:hAnsi="標楷體" w:hint="eastAsia"/>
          <w:b/>
          <w:color w:val="C00000"/>
          <w:szCs w:val="24"/>
        </w:rPr>
        <w:t>X時)</w:t>
      </w:r>
      <w:r w:rsidR="005D5BCF">
        <w:rPr>
          <w:rFonts w:ascii="標楷體" w:eastAsia="標楷體" w:hAnsi="標楷體" w:hint="eastAsia"/>
          <w:b/>
          <w:color w:val="C00000"/>
          <w:szCs w:val="24"/>
        </w:rPr>
        <w:t>，求出</w:t>
      </w:r>
      <m:oMath>
        <m:r>
          <m:rPr>
            <m:sty m:val="b"/>
          </m:rPr>
          <w:rPr>
            <w:rFonts w:ascii="Cambria Math" w:eastAsia="標楷體" w:hAnsi="Cambria Math" w:hint="eastAsia"/>
            <w:color w:val="C00000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L</m:t>
            </m:r>
          </m:e>
        </m:d>
      </m:oMath>
    </w:p>
    <w:p w:rsidR="009A43B5" w:rsidRPr="009A43B5" w:rsidRDefault="005D5BCF" w:rsidP="009A43B5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 w:hint="eastAsia"/>
          <w:b/>
          <w:color w:val="C00000"/>
          <w:szCs w:val="24"/>
        </w:rPr>
      </w:pPr>
      <w:r w:rsidRPr="005D5BCF">
        <w:rPr>
          <w:rFonts w:ascii="標楷體" w:eastAsia="標楷體" w:hAnsi="標楷體" w:hint="eastAsia"/>
          <w:b/>
          <w:color w:val="C00000"/>
          <w:szCs w:val="24"/>
        </w:rPr>
        <w:lastRenderedPageBreak/>
        <w:t>以上面得的</w:t>
      </w: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L</m:t>
            </m:r>
          </m:e>
        </m:d>
      </m:oMath>
      <w:r w:rsidRPr="005D5BCF">
        <w:rPr>
          <w:rFonts w:ascii="標楷體" w:eastAsia="標楷體" w:hAnsi="標楷體" w:hint="eastAsia"/>
          <w:b/>
          <w:color w:val="C00000"/>
          <w:szCs w:val="24"/>
        </w:rPr>
        <w:t>計算(8)式</w:t>
      </w:r>
      <w:r>
        <w:rPr>
          <w:rFonts w:ascii="標楷體" w:eastAsia="標楷體" w:hAnsi="標楷體" w:hint="eastAsia"/>
          <w:b/>
          <w:color w:val="C00000"/>
          <w:szCs w:val="24"/>
        </w:rPr>
        <w:t>結果得</w:t>
      </w: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Sharpe</m:t>
            </m:r>
          </m:e>
          <m:sub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Ω</m:t>
            </m:r>
          </m:sub>
        </m:sSub>
        <m:d>
          <m:d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L</m:t>
            </m:r>
          </m:e>
        </m:d>
      </m:oMath>
      <w:r w:rsidR="00B429D7" w:rsidRPr="00B429D7">
        <w:rPr>
          <w:rFonts w:ascii="標楷體" w:eastAsia="標楷體" w:hAnsi="標楷體" w:hint="eastAsia"/>
          <w:b/>
          <w:color w:val="808080" w:themeColor="background1" w:themeShade="80"/>
          <w:szCs w:val="24"/>
        </w:rPr>
        <w:t xml:space="preserve"> (每支ETF都會有一個)</w:t>
      </w:r>
    </w:p>
    <w:p w:rsidR="009A43B5" w:rsidRPr="009A43B5" w:rsidRDefault="009A43B5" w:rsidP="009A43B5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/>
          <w:b/>
          <w:color w:val="C00000"/>
          <w:szCs w:val="24"/>
        </w:rPr>
      </w:pPr>
      <w:r>
        <w:rPr>
          <w:rFonts w:ascii="標楷體" w:eastAsia="標楷體" w:hAnsi="標楷體" w:hint="eastAsia"/>
          <w:b/>
          <w:color w:val="C00000"/>
          <w:szCs w:val="24"/>
        </w:rPr>
        <w:t>算出來如果</w:t>
      </w: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hint="eastAsia"/>
                <w:color w:val="C00000"/>
                <w:szCs w:val="24"/>
              </w:rPr>
              <m:t>L</m:t>
            </m:r>
          </m:e>
        </m:d>
      </m:oMath>
      <w:r>
        <w:rPr>
          <w:rFonts w:ascii="標楷體" w:eastAsia="標楷體" w:hAnsi="標楷體" w:hint="eastAsia"/>
          <w:b/>
          <w:color w:val="C00000"/>
          <w:szCs w:val="24"/>
        </w:rPr>
        <w:t>都是0，則這些0的排序在最後面，再依超額報酬率大小排序</w:t>
      </w:r>
      <w:r w:rsidR="00A22712">
        <w:rPr>
          <w:rFonts w:ascii="標楷體" w:eastAsia="標楷體" w:hAnsi="標楷體" w:hint="eastAsia"/>
          <w:b/>
          <w:color w:val="C00000"/>
          <w:szCs w:val="24"/>
        </w:rPr>
        <w:t>(損失越大順位越後面)</w:t>
      </w:r>
    </w:p>
    <w:p w:rsidR="00EF46F2" w:rsidRPr="00313765" w:rsidRDefault="00EF46F2" w:rsidP="009A43B5">
      <w:pPr>
        <w:pStyle w:val="a3"/>
        <w:numPr>
          <w:ilvl w:val="0"/>
          <w:numId w:val="6"/>
        </w:numPr>
        <w:spacing w:beforeLines="50" w:afterLines="50"/>
        <w:ind w:leftChars="0" w:left="482" w:hanging="482"/>
        <w:rPr>
          <w:rFonts w:ascii="標楷體" w:eastAsia="標楷體" w:hAnsi="標楷體"/>
          <w:b/>
        </w:rPr>
      </w:pPr>
      <w:r w:rsidRPr="00313765">
        <w:rPr>
          <w:rFonts w:ascii="標楷體" w:eastAsia="標楷體" w:hAnsi="標楷體" w:hint="eastAsia"/>
          <w:b/>
        </w:rPr>
        <w:t>指標C</w:t>
      </w:r>
    </w:p>
    <w:p w:rsidR="00CC7014" w:rsidRPr="00EF46F2" w:rsidRDefault="00F47D04" w:rsidP="00EF46F2">
      <w:pPr>
        <w:pStyle w:val="a3"/>
        <w:ind w:leftChars="0"/>
        <w:rPr>
          <w:rFonts w:ascii="標楷體" w:eastAsia="標楷體" w:hAnsi="標楷體"/>
          <w:b/>
          <w:color w:val="3333FF"/>
          <w:szCs w:val="24"/>
        </w:rPr>
      </w:pPr>
      <w:r>
        <w:rPr>
          <w:rFonts w:ascii="標楷體" w:eastAsia="標楷體" w:hAnsi="標楷體" w:hint="eastAsia"/>
          <w:b/>
          <w:color w:val="3333FF"/>
          <w:szCs w:val="24"/>
        </w:rPr>
        <w:t>2</w:t>
      </w:r>
      <w:r w:rsidR="00CC7014" w:rsidRPr="00EF46F2">
        <w:rPr>
          <w:rFonts w:ascii="標楷體" w:eastAsia="標楷體" w:hAnsi="標楷體"/>
          <w:b/>
          <w:color w:val="3333FF"/>
          <w:szCs w:val="24"/>
        </w:rPr>
        <w:t>013_EL_A global index of riskiness: 請用p.494中之Q(g)</w:t>
      </w:r>
    </w:p>
    <w:p w:rsidR="00CC7014" w:rsidRDefault="00F47D04" w:rsidP="00CC7014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w:drawing>
          <wp:inline distT="0" distB="0" distL="0" distR="0">
            <wp:extent cx="5888990" cy="225869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9D7" w:rsidRPr="00B429D7" w:rsidRDefault="00F10E54" w:rsidP="00B429D7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/>
          <w:b/>
          <w:color w:val="808080" w:themeColor="background1" w:themeShade="80"/>
          <w:szCs w:val="24"/>
        </w:rPr>
      </w:pPr>
      <w:r w:rsidRPr="00B429D7">
        <w:rPr>
          <w:rFonts w:ascii="標楷體" w:eastAsia="標楷體" w:hAnsi="標楷體" w:hint="eastAsia"/>
          <w:b/>
          <w:color w:val="C00000"/>
          <w:szCs w:val="24"/>
        </w:rPr>
        <w:t>上(2)式中，g以</w:t>
      </w:r>
      <w:r w:rsidR="00B429D7" w:rsidRPr="00B429D7">
        <w:rPr>
          <w:rFonts w:ascii="標楷體" w:eastAsia="標楷體" w:hAnsi="標楷體" w:hint="eastAsia"/>
          <w:b/>
          <w:color w:val="C00000"/>
          <w:szCs w:val="24"/>
        </w:rPr>
        <w:t>各ETF之</w:t>
      </w:r>
      <w:r w:rsidRPr="00B429D7">
        <w:rPr>
          <w:rFonts w:ascii="標楷體" w:eastAsia="標楷體" w:hAnsi="標楷體" w:hint="eastAsia"/>
          <w:b/>
          <w:color w:val="C00000"/>
          <w:szCs w:val="24"/>
        </w:rPr>
        <w:t>超額報酬率</w:t>
      </w:r>
      <w:proofErr w:type="spellStart"/>
      <w:r w:rsidRPr="00B429D7">
        <w:rPr>
          <w:rFonts w:ascii="標楷體" w:eastAsia="標楷體" w:hAnsi="標楷體" w:hint="eastAsia"/>
          <w:b/>
          <w:color w:val="FF0000"/>
          <w:szCs w:val="24"/>
        </w:rPr>
        <w:t>eR</w:t>
      </w:r>
      <w:r w:rsidRPr="00B429D7">
        <w:rPr>
          <w:rFonts w:ascii="標楷體" w:eastAsia="標楷體" w:hAnsi="標楷體" w:hint="eastAsia"/>
          <w:b/>
          <w:color w:val="FF0000"/>
          <w:szCs w:val="24"/>
          <w:vertAlign w:val="subscript"/>
        </w:rPr>
        <w:t>t</w:t>
      </w:r>
      <w:proofErr w:type="spellEnd"/>
      <w:r w:rsidRPr="00B429D7">
        <w:rPr>
          <w:rFonts w:ascii="標楷體" w:eastAsia="標楷體" w:hAnsi="標楷體" w:hint="eastAsia"/>
          <w:b/>
          <w:color w:val="C00000"/>
          <w:szCs w:val="24"/>
        </w:rPr>
        <w:t>代入，求</w:t>
      </w:r>
      <w:r>
        <w:rPr>
          <w:rFonts w:ascii="標楷體" w:eastAsia="標楷體" w:hAnsi="標楷體" w:hint="eastAsia"/>
          <w:b/>
          <w:noProof/>
          <w:color w:val="C00000"/>
          <w:szCs w:val="24"/>
        </w:rPr>
        <w:drawing>
          <wp:inline distT="0" distB="0" distL="0" distR="0">
            <wp:extent cx="560980" cy="311642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9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8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9D7">
        <w:rPr>
          <w:rFonts w:ascii="標楷體" w:eastAsia="標楷體" w:hAnsi="標楷體" w:hint="eastAsia"/>
          <w:b/>
          <w:color w:val="C00000"/>
          <w:szCs w:val="24"/>
        </w:rPr>
        <w:t xml:space="preserve">的期望值=1，以解出 </w:t>
      </w: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g</m:t>
            </m:r>
          </m:sub>
        </m:sSub>
      </m:oMath>
      <w:r w:rsidRPr="00B429D7">
        <w:rPr>
          <w:rFonts w:ascii="標楷體" w:eastAsia="標楷體" w:hAnsi="標楷體" w:hint="eastAsia"/>
          <w:b/>
          <w:color w:val="C00000"/>
          <w:szCs w:val="24"/>
        </w:rPr>
        <w:t xml:space="preserve"> </w:t>
      </w:r>
      <w:r w:rsidR="00B429D7" w:rsidRPr="00B429D7">
        <w:rPr>
          <w:rFonts w:ascii="標楷體" w:eastAsia="標楷體" w:hAnsi="標楷體" w:hint="eastAsia"/>
          <w:b/>
          <w:color w:val="808080" w:themeColor="background1" w:themeShade="80"/>
          <w:szCs w:val="24"/>
        </w:rPr>
        <w:t xml:space="preserve"> (每支ETF都會有一個)</w:t>
      </w:r>
    </w:p>
    <w:p w:rsidR="00B429D7" w:rsidRPr="00B429D7" w:rsidRDefault="00102CDF" w:rsidP="00F10E54">
      <w:pPr>
        <w:pStyle w:val="a3"/>
        <w:numPr>
          <w:ilvl w:val="0"/>
          <w:numId w:val="7"/>
        </w:numPr>
        <w:ind w:leftChars="0" w:left="993"/>
        <w:rPr>
          <w:rFonts w:ascii="標楷體" w:eastAsia="標楷體" w:hAnsi="標楷體"/>
          <w:b/>
          <w:color w:val="C00000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b/>
                <w:color w:val="C0000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eastAsia="標楷體" w:hAnsi="Cambria Math"/>
                <w:color w:val="C00000"/>
                <w:szCs w:val="24"/>
              </w:rPr>
              <m:t>g</m:t>
            </m:r>
          </m:sub>
        </m:sSub>
      </m:oMath>
      <w:r w:rsidR="00B429D7" w:rsidRPr="00B429D7">
        <w:rPr>
          <w:rFonts w:ascii="標楷體" w:eastAsia="標楷體" w:hAnsi="標楷體" w:hint="eastAsia"/>
          <w:b/>
          <w:color w:val="C00000"/>
          <w:szCs w:val="24"/>
        </w:rPr>
        <w:t xml:space="preserve"> 再代入</w:t>
      </w:r>
      <w:r w:rsidR="00B429D7">
        <w:rPr>
          <w:rFonts w:ascii="標楷體" w:eastAsia="標楷體" w:hAnsi="標楷體" w:hint="eastAsia"/>
          <w:b/>
          <w:color w:val="C00000"/>
          <w:szCs w:val="24"/>
        </w:rPr>
        <w:t>下圖</w:t>
      </w:r>
      <w:r w:rsidR="00672AD0">
        <w:rPr>
          <w:rFonts w:ascii="標楷體" w:eastAsia="標楷體" w:hAnsi="標楷體" w:hint="eastAsia"/>
          <w:b/>
          <w:color w:val="C00000"/>
          <w:szCs w:val="24"/>
        </w:rPr>
        <w:t>標黃色</w:t>
      </w:r>
      <w:r w:rsidR="00B429D7">
        <w:rPr>
          <w:rFonts w:ascii="標楷體" w:eastAsia="標楷體" w:hAnsi="標楷體" w:hint="eastAsia"/>
          <w:b/>
          <w:color w:val="C00000"/>
          <w:szCs w:val="24"/>
        </w:rPr>
        <w:t>算式求出Q(g)</w:t>
      </w:r>
    </w:p>
    <w:p w:rsidR="00F10E54" w:rsidRPr="00F10E54" w:rsidRDefault="00B429D7" w:rsidP="00B429D7">
      <w:pPr>
        <w:ind w:leftChars="177" w:left="425"/>
        <w:rPr>
          <w:rFonts w:ascii="標楷體" w:eastAsia="標楷體" w:hAnsi="標楷體"/>
          <w:b/>
          <w:color w:val="C00000"/>
          <w:szCs w:val="24"/>
        </w:rPr>
      </w:pPr>
      <w:r>
        <w:rPr>
          <w:rFonts w:ascii="標楷體" w:eastAsia="標楷體" w:hAnsi="標楷體"/>
          <w:b/>
          <w:noProof/>
          <w:color w:val="C00000"/>
          <w:szCs w:val="24"/>
        </w:rPr>
        <w:drawing>
          <wp:inline distT="0" distB="0" distL="0" distR="0">
            <wp:extent cx="5636260" cy="4025900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E54" w:rsidRPr="00F10E54" w:rsidSect="0009412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7DC" w:rsidRDefault="009847DC" w:rsidP="009A43B5">
      <w:r>
        <w:separator/>
      </w:r>
    </w:p>
  </w:endnote>
  <w:endnote w:type="continuationSeparator" w:id="0">
    <w:p w:rsidR="009847DC" w:rsidRDefault="009847DC" w:rsidP="009A4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DF Kai Shu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7DC" w:rsidRDefault="009847DC" w:rsidP="009A43B5">
      <w:r>
        <w:separator/>
      </w:r>
    </w:p>
  </w:footnote>
  <w:footnote w:type="continuationSeparator" w:id="0">
    <w:p w:rsidR="009847DC" w:rsidRDefault="009847DC" w:rsidP="009A43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F9E5"/>
      </v:shape>
    </w:pict>
  </w:numPicBullet>
  <w:abstractNum w:abstractNumId="0">
    <w:nsid w:val="032F45EC"/>
    <w:multiLevelType w:val="hybridMultilevel"/>
    <w:tmpl w:val="BCA0BC3C"/>
    <w:lvl w:ilvl="0" w:tplc="1EC0F3D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58109F"/>
    <w:multiLevelType w:val="hybridMultilevel"/>
    <w:tmpl w:val="A22026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BC4EA3"/>
    <w:multiLevelType w:val="hybridMultilevel"/>
    <w:tmpl w:val="5BBCD920"/>
    <w:lvl w:ilvl="0" w:tplc="1938F50A">
      <w:start w:val="1"/>
      <w:numFmt w:val="bullet"/>
      <w:lvlText w:val=""/>
      <w:lvlJc w:val="left"/>
      <w:pPr>
        <w:ind w:left="17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80"/>
      </w:pPr>
      <w:rPr>
        <w:rFonts w:ascii="Wingdings" w:hAnsi="Wingdings" w:hint="default"/>
      </w:rPr>
    </w:lvl>
  </w:abstractNum>
  <w:abstractNum w:abstractNumId="3">
    <w:nsid w:val="2D217E9E"/>
    <w:multiLevelType w:val="hybridMultilevel"/>
    <w:tmpl w:val="465E008A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4">
    <w:nsid w:val="390B131E"/>
    <w:multiLevelType w:val="hybridMultilevel"/>
    <w:tmpl w:val="1C5EAA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CC139A"/>
    <w:multiLevelType w:val="hybridMultilevel"/>
    <w:tmpl w:val="6B74A03C"/>
    <w:lvl w:ilvl="0" w:tplc="1EC0F3DE">
      <w:start w:val="1"/>
      <w:numFmt w:val="decimal"/>
      <w:lvlText w:val="(%1)"/>
      <w:lvlJc w:val="left"/>
      <w:pPr>
        <w:ind w:left="1332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6">
    <w:nsid w:val="5BA16C2E"/>
    <w:multiLevelType w:val="hybridMultilevel"/>
    <w:tmpl w:val="610A2C18"/>
    <w:lvl w:ilvl="0" w:tplc="FBDA7546">
      <w:start w:val="1"/>
      <w:numFmt w:val="taiwa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0D185D"/>
    <w:multiLevelType w:val="hybridMultilevel"/>
    <w:tmpl w:val="7304DC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1FA"/>
    <w:rsid w:val="00094125"/>
    <w:rsid w:val="000D7B4E"/>
    <w:rsid w:val="00102CDF"/>
    <w:rsid w:val="00302725"/>
    <w:rsid w:val="00313765"/>
    <w:rsid w:val="004C2CFB"/>
    <w:rsid w:val="0058527E"/>
    <w:rsid w:val="005D5BCF"/>
    <w:rsid w:val="005E293F"/>
    <w:rsid w:val="00662C02"/>
    <w:rsid w:val="00672AD0"/>
    <w:rsid w:val="0069595F"/>
    <w:rsid w:val="00766CBF"/>
    <w:rsid w:val="009125A3"/>
    <w:rsid w:val="009847DC"/>
    <w:rsid w:val="009A43B5"/>
    <w:rsid w:val="00A22712"/>
    <w:rsid w:val="00A525B1"/>
    <w:rsid w:val="00AB7E8B"/>
    <w:rsid w:val="00AF734B"/>
    <w:rsid w:val="00B401FA"/>
    <w:rsid w:val="00B429D7"/>
    <w:rsid w:val="00B46829"/>
    <w:rsid w:val="00CC7014"/>
    <w:rsid w:val="00DE4C95"/>
    <w:rsid w:val="00EF46F2"/>
    <w:rsid w:val="00F10E54"/>
    <w:rsid w:val="00F47D04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125"/>
    <w:pPr>
      <w:ind w:leftChars="200" w:left="480"/>
    </w:pPr>
  </w:style>
  <w:style w:type="character" w:styleId="a4">
    <w:name w:val="Hyperlink"/>
    <w:basedOn w:val="a0"/>
    <w:uiPriority w:val="99"/>
    <w:unhideWhenUsed/>
    <w:rsid w:val="00B46829"/>
    <w:rPr>
      <w:color w:val="0000FF" w:themeColor="hyperlink"/>
      <w:u w:val="single"/>
    </w:rPr>
  </w:style>
  <w:style w:type="paragraph" w:customStyle="1" w:styleId="Default">
    <w:name w:val="Default"/>
    <w:rsid w:val="00CC7014"/>
    <w:pPr>
      <w:widowControl w:val="0"/>
      <w:autoSpaceDE w:val="0"/>
      <w:autoSpaceDN w:val="0"/>
      <w:adjustRightInd w:val="0"/>
    </w:pPr>
    <w:rPr>
      <w:rFonts w:ascii="DFKai-SB" w:hAnsi="DFKai-SB" w:cs="DFKai-SB"/>
      <w:color w:val="000000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852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527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5D5BCF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9A4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9A43B5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9A4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9A43B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asury.gov/resource-center/data-chart-center/interest-rates/Pages/TextView.aspx?data=yieldYear&amp;year=201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5%81%8F%E5%BA%A6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eo08260826/Fintech_HW/tree/Angel/HW4/Reskless%20rat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61676-7B87-40A7-A7FC-3B587665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267</Words>
  <Characters>1528</Characters>
  <Application>Microsoft Office Word</Application>
  <DocSecurity>0</DocSecurity>
  <Lines>12</Lines>
  <Paragraphs>3</Paragraphs>
  <ScaleCrop>false</ScaleCrop>
  <Company>Toshiba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AngelYang</dc:creator>
  <cp:lastModifiedBy>AngelYang</cp:lastModifiedBy>
  <cp:revision>19</cp:revision>
  <dcterms:created xsi:type="dcterms:W3CDTF">2019-05-10T16:47:00Z</dcterms:created>
  <dcterms:modified xsi:type="dcterms:W3CDTF">2019-05-14T09:44:00Z</dcterms:modified>
</cp:coreProperties>
</file>