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sz w:val="36"/>
          <w:szCs w:val="36"/>
        </w:rPr>
        <w:t xml:space="preserve">ERCOT DA/RT 조달 배분 모델 v4</w:t>
      </w:r>
    </w:p>
    <w:p>
      <w:pPr>
        <w:spacing w:after="320"/>
        <w:jc w:val="center"/>
      </w:pPr>
      <w:r>
        <w:rPr>
          <w:rFonts w:ascii="맑은 고딕" w:cs="맑은 고딕" w:eastAsia="맑은 고딕" w:hAnsi="맑은 고딕"/>
          <w:b/>
          <w:bCs/>
          <w:color w:val="555555"/>
          <w:sz w:val="28"/>
          <w:szCs w:val="28"/>
        </w:rPr>
        <w:t xml:space="preserve">코드 및 데이터 상세 검토 의견</w:t>
      </w:r>
    </w:p>
    <w:p>
      <w:pPr>
        <w:pBdr>
          <w:bottom w:val="single" w:color="AAAAAA" w:sz="6" w:space="1"/>
        </w:pBdr>
        <w:spacing w:after="240"/>
      </w:pPr>
    </w:p>
    <w:p>
      <w:pPr>
        <w:spacing w:after="160"/>
      </w:pPr>
      <w:r>
        <w:rPr>
          <w:rFonts w:ascii="맑은 고딕" w:cs="맑은 고딕" w:eastAsia="맑은 고딕" w:hAnsi="맑은 고딕"/>
          <w:b w:val="false"/>
          <w:bCs w:val="false"/>
          <w:i w:val="false"/>
          <w:iCs w:val="false"/>
          <w:sz w:val="22"/>
          <w:szCs w:val="22"/>
        </w:rPr>
        <w:t xml:space="preserve">먼저 말씀드리고 싶은 것은, 이번 버전에서 이전에 나누었던 피드백의 상당 부분을 정성껏 반영해 주셨다는 점입니다. M1 타깃을 NFE 회귀에서 P(DA&lt;RT) 직접 분류로 바꾸어 주신 것, dead-band와 비용가중을 함께 도입해 주신 것, NFE 계산 기준을 ENV로 단일화하여 2024년 결측 문제를 세심하게 우회해 주신 것, M3를 예측 모델이 아닌 Hard Gate로 명확히 분리해 주신 것까지 — 모두 이전 논의에서 나왔던 구조적인 부분들을 정확히 짚어서 개선해 주신 결과로 보입니다. 이 점에 대해서는 먼저 감사한 마음으로 말씀드리고 싶습니다.</w:t>
      </w:r>
    </w:p>
    <w:p>
      <w:pPr>
        <w:spacing w:after="160"/>
      </w:pPr>
      <w:r>
        <w:rPr>
          <w:rFonts w:ascii="맑은 고딕" w:cs="맑은 고딕" w:eastAsia="맑은 고딕" w:hAnsi="맑은 고딕"/>
          <w:b w:val="false"/>
          <w:bCs w:val="false"/>
          <w:i w:val="false"/>
          <w:iCs w:val="false"/>
          <w:sz w:val="22"/>
          <w:szCs w:val="22"/>
        </w:rPr>
        <w:t xml:space="preserve">다만 코드를 직접 실행해 보고 데이터를 하나하나 조심스럽게 대조해 본 결과, 애써 개선해 주신 부분이 지금 폴더 구성 그대로는 다소 아쉽게도 상당 부분 제 힘을 발휘하지 못하고 있는 지점을 두 군데 발견하게 되어, 조심스럽지만 먼저 말씀드리고자 합니다. 이어서 앞으로 더 좋아지실 수 있는 방향들도 우선순위를 여쭙듯이 정리해 드리겠습니다.</w:t>
      </w:r>
    </w:p>
    <w:p>
      <w:pPr>
        <w:pStyle w:val="Heading1"/>
        <w:spacing w:after="200" w:before="360"/>
      </w:pPr>
      <w:r>
        <w:rPr>
          <w:rFonts w:ascii="맑은 고딕" w:cs="맑은 고딕" w:eastAsia="맑은 고딕" w:hAnsi="맑은 고딕"/>
          <w:b/>
          <w:bCs/>
        </w:rPr>
        <w:t xml:space="preserve">Ⅰ. 가장 먼저 살펴봐 주시면 좋을 부분</w:t>
      </w:r>
    </w:p>
    <w:p>
      <w:pPr>
        <w:pStyle w:val="Heading2"/>
        <w:spacing w:after="160" w:before="280"/>
      </w:pPr>
      <w:r>
        <w:rPr>
          <w:rFonts w:ascii="맑은 고딕" w:cs="맑은 고딕" w:eastAsia="맑은 고딕" w:hAnsi="맑은 고딕"/>
          <w:b/>
          <w:bCs/>
        </w:rPr>
        <w:t xml:space="preserve">1) 날씨 anomaly 오버레이가 현재 의도와 다르게 비활성 상태로 동작하고 있는 것으로 보입니다</w:t>
      </w:r>
    </w:p>
    <w:p>
      <w:pPr>
        <w:spacing w:after="160"/>
      </w:pPr>
      <w:r>
        <w:rPr>
          <w:rFonts w:ascii="맑은 고딕" w:cs="맑은 고딕" w:eastAsia="맑은 고딕" w:hAnsi="맑은 고딕"/>
          <w:b w:val="false"/>
          <w:bCs w:val="false"/>
          <w:i w:val="false"/>
          <w:iCs w:val="false"/>
          <w:sz w:val="22"/>
          <w:szCs w:val="22"/>
        </w:rPr>
        <w:t xml:space="preserve">이번 버전에서 가장 공들여 준비해 주신 신규 기능이 날씨 레짐 오버레이라고 이해하고 있는데, 확인해 보니 지금 폴더 구성 그대로는 이 기능이 아쉽게도 작동하지 않고 있는 것으로 보였습니다.</w:t>
      </w:r>
    </w:p>
    <w:p>
      <w:pPr>
        <w:spacing w:after="160"/>
      </w:pPr>
      <w:r>
        <w:rPr>
          <w:rFonts w:ascii="맑은 고딕" w:cs="맑은 고딕" w:eastAsia="맑은 고딕" w:hAnsi="맑은 고딕"/>
          <w:b w:val="false"/>
          <w:bCs w:val="false"/>
          <w:i w:val="false"/>
          <w:iCs w:val="false"/>
          <w:sz w:val="22"/>
          <w:szCs w:val="22"/>
        </w:rPr>
        <w:t xml:space="preserve">살펴본 바로는, load_weather() 함수가 날씨 데이터를 찾을 때 폴더 안의 *.csv 확장자 파일만 스캔하도록 되어 있는 점이 원인이 아닐까 싶습니다. 제공해 주신 날씨 데이터는 Weather Data.txt로, 내용 자체는 완전히 동일한 CSV 형식(콤마 구분, date / temp_mean_f 컬럼 포함)이지만 확장자가 .txt이다 보니 스캔 대상에서 자연스럽게 제외되는 것으로 확인되었습니다.</w:t>
      </w:r>
    </w:p>
    <w:p>
      <w:pPr>
        <w:spacing w:after="160"/>
      </w:pPr>
      <w:r>
        <w:rPr>
          <w:rFonts w:ascii="맑은 고딕" w:cs="맑은 고딕" w:eastAsia="맑은 고딕" w:hAnsi="맑은 고딕"/>
          <w:b w:val="false"/>
          <w:bCs w:val="false"/>
          <w:i w:val="false"/>
          <w:iCs w:val="false"/>
          <w:sz w:val="22"/>
          <w:szCs w:val="22"/>
        </w:rPr>
        <w:t xml:space="preserve">실제로 스크립트를 그대로 실행하여 확인해 보니, 콘솔에 다음과 같이 출력되었습니다.</w:t>
      </w:r>
    </w:p>
    <w:p>
      <w:pPr>
        <w:spacing w:after="160"/>
      </w:pPr>
      <w:r>
        <w:rPr>
          <w:rFonts w:ascii="맑은 고딕" w:cs="맑은 고딕" w:eastAsia="맑은 고딕" w:hAnsi="맑은 고딕"/>
          <w:b w:val="false"/>
          <w:bCs w:val="false"/>
          <w:i/>
          <w:iCs/>
          <w:sz w:val="22"/>
          <w:szCs w:val="22"/>
        </w:rPr>
        <w:t xml:space="preserve">날씨: 없음 (→ 날씨 피처/오버레이 비활성, 나머지는 정상 동작)</w:t>
      </w:r>
    </w:p>
    <w:p>
      <w:pPr>
        <w:spacing w:after="160"/>
      </w:pPr>
      <w:r>
        <w:rPr>
          <w:rFonts w:ascii="맑은 고딕" w:cs="맑은 고딕" w:eastAsia="맑은 고딕" w:hAnsi="맑은 고딕"/>
          <w:b w:val="false"/>
          <w:bCs w:val="false"/>
          <w:i w:val="false"/>
          <w:iCs w:val="false"/>
          <w:sz w:val="22"/>
          <w:szCs w:val="22"/>
        </w:rPr>
        <w:t xml:space="preserve">이렇게 되면 t_anom 값이 전 구간에서 결측이 되어, weather_overlay() 함수 내부의 조건(anom이 NaN이면 f_da를 그대로 반환)에 따라 오버레이 로직이 항상 그대로 통과되는 것으로 보였습니다. 정성 들여 새로 설계해 주신 한파/폭염 비대칭 오버레이 로직 자체는 코드상 정확하게 구현되어 있는데, 실행 단계에서는 발동될 기회를 아직 갖지 못한 것 같아 다소 아쉬웠습니다.</w:t>
      </w:r>
    </w:p>
    <w:p>
      <w:pPr>
        <w:spacing w:after="160"/>
      </w:pPr>
      <w:r>
        <w:rPr>
          <w:rFonts w:ascii="맑은 고딕" w:cs="맑은 고딕" w:eastAsia="맑은 고딕" w:hAnsi="맑은 고딕"/>
          <w:b w:val="false"/>
          <w:bCs w:val="false"/>
          <w:i w:val="false"/>
          <w:iCs w:val="false"/>
          <w:sz w:val="22"/>
          <w:szCs w:val="22"/>
        </w:rPr>
        <w:t xml:space="preserve">혹시나 하여 파일 확장자만 .csv로 바꾸어 다시 실행해 보았더니, 다음과 같이 날씨 데이터가 정상적으로 인식되고 오버레이도 의도하신 대로 작동하는 것을 확인할 수 있었습니다.</w:t>
      </w:r>
    </w:p>
    <w:p>
      <w:pPr>
        <w:spacing w:after="160"/>
      </w:pPr>
      <w:r>
        <w:rPr>
          <w:rFonts w:ascii="맑은 고딕" w:cs="맑은 고딕" w:eastAsia="맑은 고딕" w:hAnsi="맑은 고딕"/>
          <w:b w:val="false"/>
          <w:bCs w:val="false"/>
          <w:i/>
          <w:iCs/>
          <w:sz w:val="22"/>
          <w:szCs w:val="22"/>
        </w:rPr>
        <w:t xml:space="preserve">날씨: 931일 (anomaly 피처+오버레이 사용)</w:t>
      </w:r>
    </w:p>
    <w:p>
      <w:pPr>
        <w:spacing w:after="160"/>
      </w:pPr>
      <w:r>
        <w:rPr>
          <w:rFonts w:ascii="맑은 고딕" w:cs="맑은 고딕" w:eastAsia="맑은 고딕" w:hAnsi="맑은 고딕"/>
          <w:b w:val="false"/>
          <w:bCs w:val="false"/>
          <w:i w:val="false"/>
          <w:iCs w:val="false"/>
          <w:sz w:val="22"/>
          <w:szCs w:val="22"/>
        </w:rPr>
        <w:t xml:space="preserve">해결 방법으로는 두 가지 정도를 생각해 보았습니다. 파일 확장자를 .csv로 통일해서 배포하시거나, load_weather()가 스캔하는 대상에 *.txt도 포함하도록 list_csvs() 또는 그 상위 호출부를 살짝 보완해 주시는 방법입니다. 개인적으로는 후자가 조금 더 근본적인 해결이 될 것 같다는 생각이 듭니다. 앞으로도 데이터를 주고받으실 때 파일 확장자 관례가 매번 다를 수 있으니까요.</w:t>
      </w:r>
    </w:p>
    <w:p>
      <w:pPr>
        <w:pStyle w:val="Heading2"/>
        <w:spacing w:after="160" w:before="280"/>
      </w:pPr>
      <w:r>
        <w:rPr>
          <w:rFonts w:ascii="맑은 고딕" w:cs="맑은 고딕" w:eastAsia="맑은 고딕" w:hAnsi="맑은 고딕"/>
          <w:b/>
          <w:bCs/>
        </w:rPr>
        <w:t xml:space="preserve">2) Congestion 파일이 2025~2026년 학습 데이터에 뜻하지 않게 영향을 주고 있는 것으로 보입니다</w:t>
      </w:r>
    </w:p>
    <w:p>
      <w:pPr>
        <w:spacing w:after="160"/>
      </w:pPr>
      <w:r>
        <w:rPr>
          <w:rFonts w:ascii="맑은 고딕" w:cs="맑은 고딕" w:eastAsia="맑은 고딕" w:hAnsi="맑은 고딕"/>
          <w:b w:val="false"/>
          <w:bCs w:val="false"/>
          <w:i w:val="false"/>
          <w:iCs w:val="false"/>
          <w:sz w:val="22"/>
          <w:szCs w:val="22"/>
        </w:rPr>
        <w:t xml:space="preserve">이 부분은 앞서 말씀드린 지점보다 조금 더 유심히 봐 주시면 좋을 것 같습니다. MODEL_CONFIG.md의 1절에는 다음과 같이 정리되어 있었습니다.</w:t>
      </w:r>
    </w:p>
    <w:p>
      <w:pPr>
        <w:spacing w:after="160"/>
      </w:pPr>
      <w:r>
        <w:rPr>
          <w:rFonts w:ascii="맑은 고딕" w:cs="맑은 고딕" w:eastAsia="맑은 고딕" w:hAnsi="맑은 고딕"/>
          <w:b w:val="false"/>
          <w:bCs w:val="false"/>
          <w:i/>
          <w:iCs/>
          <w:sz w:val="22"/>
          <w:szCs w:val="22"/>
        </w:rPr>
        <w:t xml:space="preserve">“사용하지 않는 데이터: 분석 과정에서 활용한 congestion 파일(존별 부하·지역별 풍력/태양광)은 구조 이해와 가설 검증에 쓰였으나 프로덕션 스크립트에는 반영되어 있지 않다.”</w:t>
      </w:r>
    </w:p>
    <w:p>
      <w:pPr>
        <w:spacing w:after="160"/>
      </w:pPr>
      <w:r>
        <w:rPr>
          <w:rFonts w:ascii="맑은 고딕" w:cs="맑은 고딕" w:eastAsia="맑은 고딕" w:hAnsi="맑은 고딕"/>
          <w:b w:val="false"/>
          <w:bCs w:val="false"/>
          <w:i w:val="false"/>
          <w:iCs w:val="false"/>
          <w:sz w:val="22"/>
          <w:szCs w:val="22"/>
        </w:rPr>
        <w:t xml:space="preserve">의도는 이렇게 분명하게 정리해 두셨는데, 실제 코드 동작은 이와 조금 다르게 흘러가고 있는 것으로 보였습니다. run() 함수 안에서 ERCOT 과거 데이터 파일을 자동으로 찾아주는 has_da_lmp() 로직이 “DA LMP라는 이름의 컬럼이 있는가”만으로 판단하다 보니, Congesiton 2025Q1.csv부터 Congesiton 2026.csv까지 다섯 개의 congestion 파일도 같은 조건에 해당되어 ercot_files 목록에 함께 포함되고 있었습니다. 분석용으로만 참고하신다고 정리해 두신 파일들이, 의도와 달리 프로덕션 파이프라인에도 함께 들어가고 있는 셈이라 이 부분은 한 번 확인해 주시면 좋을 것 같습니다.</w:t>
      </w:r>
    </w:p>
    <w:p>
      <w:pPr>
        <w:spacing w:after="160"/>
      </w:pPr>
      <w:r>
        <w:rPr>
          <w:rFonts w:ascii="맑은 고딕" w:cs="맑은 고딕" w:eastAsia="맑은 고딕" w:hAnsi="맑은 고딕"/>
          <w:b w:val="false"/>
          <w:bCs w:val="false"/>
          <w:i w:val="false"/>
          <w:iCs w:val="false"/>
          <w:sz w:val="22"/>
          <w:szCs w:val="22"/>
        </w:rPr>
        <w:t xml:space="preserve">조금 더 살펴보니, load_history() 함수에서 여러 CSV를 pd.concat으로 합친 뒤 같은 시각(timestamp)에 대해 drop_duplicates(keep="last")로 중복을 정리하는 과정이 있는데, 이때 파일 목록이 알파벳 순으로 정렬되다 보니 “2025 Historical Data.csv”보다 “Congesiton 2025Q1.csv”가 뒤쪽에 위치하게 되는 것을 확인했습니다. 그러다 보니 같은 시각에 두 파일 모두 값이 있는 경우, 뒤쪽에 위치한 congestion 파일 쪽 값이 최종적으로 남게 되는 구조였습니다.</w:t>
      </w:r>
    </w:p>
    <w:p>
      <w:pPr>
        <w:spacing w:after="160"/>
      </w:pPr>
      <w:r>
        <w:rPr>
          <w:rFonts w:ascii="맑은 고딕" w:cs="맑은 고딕" w:eastAsia="맑은 고딕" w:hAnsi="맑은 고딕"/>
          <w:b w:val="false"/>
          <w:bCs w:val="false"/>
          <w:i w:val="false"/>
          <w:iCs w:val="false"/>
          <w:sz w:val="22"/>
          <w:szCs w:val="22"/>
        </w:rPr>
        <w:t xml:space="preserve">그런데 congestion 파일들은 애초에 시스템 전체(system-wide) 관점이 아니라 존(zone)별 구조로 설계되어 있다 보니, fc_load(부하 예보), fc_wind / fc_solar(발전 예보), env_act_nl(ENV 기준 순부하 실측), PRC(예비력) 같은 시스템 전역 컬럼은 애초에 갖고 있지 않았습니다. 그래서 이 컬럼들이 congestion 파일 쪽 값으로 대체되는 순간, 해당 값들이 결측치가 되어버리는 것을 확인했습니다.</w:t>
      </w:r>
    </w:p>
    <w:p>
      <w:pPr>
        <w:spacing w:after="160"/>
      </w:pPr>
      <w:r>
        <w:rPr>
          <w:rFonts w:ascii="맑은 고딕" w:cs="맑은 고딕" w:eastAsia="맑은 고딕" w:hAnsi="맑은 고딕"/>
          <w:b w:val="false"/>
          <w:bCs w:val="false"/>
          <w:i w:val="false"/>
          <w:iCs w:val="false"/>
          <w:sz w:val="22"/>
          <w:szCs w:val="22"/>
        </w:rPr>
        <w:t xml:space="preserve">조심스럽지만 조금 더 자세히 확인해 본 수치를 함께 말씀드립니다.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2F5496"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연도</w:t>
            </w:r>
          </w:p>
        </w:tc>
        <w:tc>
          <w:tcPr>
            <w:tcW w:type="dxa" w:w="1800"/>
            <w:shd w:fill="2F5496"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일수</w:t>
            </w:r>
          </w:p>
        </w:tc>
        <w:tc>
          <w:tcPr>
            <w:tcW w:type="dxa" w:w="1800"/>
            <w:shd w:fill="2F5496"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fc_nl_mean 결측률</w:t>
            </w:r>
          </w:p>
        </w:tc>
        <w:tc>
          <w:tcPr>
            <w:tcW w:type="dxa" w:w="1800"/>
            <w:shd w:fill="2F5496"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nfe 결측률</w:t>
            </w:r>
          </w:p>
        </w:tc>
        <w:tc>
          <w:tcPr>
            <w:tcW w:type="dxa" w:w="1800"/>
            <w:shd w:fill="2F5496"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ren_share 결측률</w:t>
            </w:r>
          </w:p>
        </w:tc>
      </w:tr>
      <w:tr>
        <w:tc>
          <w:tcPr>
            <w:tcW w:type="dxa" w:w="1800"/>
            <w:tcMar>
              <w:top w:type="dxa" w:w="80"/>
              <w:left w:type="dxa" w:w="100"/>
              <w:bottom w:type="dxa" w:w="80"/>
              <w:right w:type="dxa" w:w="100"/>
            </w:tcMar>
          </w:tcPr>
          <w:p>
            <w:pPr>
              <w:jc w:val="left"/>
            </w:pPr>
            <w:r>
              <w:rPr>
                <w:rFonts w:ascii="맑은 고딕" w:cs="맑은 고딕" w:eastAsia="맑은 고딕" w:hAnsi="맑은 고딕"/>
                <w:b w:val="false"/>
                <w:bCs w:val="false"/>
                <w:color w:val="000000"/>
                <w:sz w:val="20"/>
                <w:szCs w:val="20"/>
              </w:rPr>
              <w:t xml:space="preserve">2024</w:t>
            </w:r>
          </w:p>
        </w:tc>
        <w:tc>
          <w:tcPr>
            <w:tcW w:type="dxa" w:w="180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366일</w:t>
            </w:r>
          </w:p>
        </w:tc>
        <w:tc>
          <w:tcPr>
            <w:tcW w:type="dxa" w:w="180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0.0%</w:t>
            </w:r>
          </w:p>
        </w:tc>
        <w:tc>
          <w:tcPr>
            <w:tcW w:type="dxa" w:w="180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0.0%</w:t>
            </w:r>
          </w:p>
        </w:tc>
        <w:tc>
          <w:tcPr>
            <w:tcW w:type="dxa" w:w="180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0.0%</w:t>
            </w:r>
          </w:p>
        </w:tc>
      </w:tr>
      <w:tr>
        <w:tc>
          <w:tcPr>
            <w:tcW w:type="dxa" w:w="1800"/>
            <w:shd w:fill="F2F2F2" w:val="clear"/>
            <w:tcMar>
              <w:top w:type="dxa" w:w="80"/>
              <w:left w:type="dxa" w:w="100"/>
              <w:bottom w:type="dxa" w:w="80"/>
              <w:right w:type="dxa" w:w="100"/>
            </w:tcMar>
          </w:tcPr>
          <w:p>
            <w:pPr>
              <w:jc w:val="left"/>
            </w:pPr>
            <w:r>
              <w:rPr>
                <w:rFonts w:ascii="맑은 고딕" w:cs="맑은 고딕" w:eastAsia="맑은 고딕" w:hAnsi="맑은 고딕"/>
                <w:b w:val="false"/>
                <w:bCs w:val="false"/>
                <w:color w:val="000000"/>
                <w:sz w:val="20"/>
                <w:szCs w:val="20"/>
              </w:rPr>
              <w:t xml:space="preserve">2025</w:t>
            </w:r>
          </w:p>
        </w:tc>
        <w:tc>
          <w:tcPr>
            <w:tcW w:type="dxa" w:w="1800"/>
            <w:shd w:fill="F2F2F2" w:val="clear"/>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365일</w:t>
            </w:r>
          </w:p>
        </w:tc>
        <w:tc>
          <w:tcPr>
            <w:tcW w:type="dxa" w:w="1800"/>
            <w:shd w:fill="F2F2F2" w:val="clear"/>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100.0%</w:t>
            </w:r>
          </w:p>
        </w:tc>
        <w:tc>
          <w:tcPr>
            <w:tcW w:type="dxa" w:w="1800"/>
            <w:shd w:fill="F2F2F2" w:val="clear"/>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100.0%</w:t>
            </w:r>
          </w:p>
        </w:tc>
        <w:tc>
          <w:tcPr>
            <w:tcW w:type="dxa" w:w="1800"/>
            <w:shd w:fill="F2F2F2" w:val="clear"/>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100.0%</w:t>
            </w:r>
          </w:p>
        </w:tc>
      </w:tr>
      <w:tr>
        <w:tc>
          <w:tcPr>
            <w:tcW w:type="dxa" w:w="1800"/>
            <w:tcMar>
              <w:top w:type="dxa" w:w="80"/>
              <w:left w:type="dxa" w:w="100"/>
              <w:bottom w:type="dxa" w:w="80"/>
              <w:right w:type="dxa" w:w="100"/>
            </w:tcMar>
          </w:tcPr>
          <w:p>
            <w:pPr>
              <w:jc w:val="left"/>
            </w:pPr>
            <w:r>
              <w:rPr>
                <w:rFonts w:ascii="맑은 고딕" w:cs="맑은 고딕" w:eastAsia="맑은 고딕" w:hAnsi="맑은 고딕"/>
                <w:b w:val="false"/>
                <w:bCs w:val="false"/>
                <w:color w:val="000000"/>
                <w:sz w:val="20"/>
                <w:szCs w:val="20"/>
              </w:rPr>
              <w:t xml:space="preserve">2026</w:t>
            </w:r>
          </w:p>
        </w:tc>
        <w:tc>
          <w:tcPr>
            <w:tcW w:type="dxa" w:w="180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175일</w:t>
            </w:r>
          </w:p>
        </w:tc>
        <w:tc>
          <w:tcPr>
            <w:tcW w:type="dxa" w:w="180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100.0%</w:t>
            </w:r>
          </w:p>
        </w:tc>
        <w:tc>
          <w:tcPr>
            <w:tcW w:type="dxa" w:w="180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100.0%</w:t>
            </w:r>
          </w:p>
        </w:tc>
        <w:tc>
          <w:tcPr>
            <w:tcW w:type="dxa" w:w="180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100.0%</w:t>
            </w:r>
          </w:p>
        </w:tc>
      </w:tr>
    </w:tbl>
    <w:p>
      <w:pPr>
        <w:spacing w:after="160"/>
      </w:pPr>
      <w:r>
        <w:rPr>
          <w:rFonts w:ascii="맑은 고딕" w:cs="맑은 고딕" w:eastAsia="맑은 고딕" w:hAnsi="맑은 고딕"/>
          <w:b w:val="false"/>
          <w:bCs w:val="false"/>
          <w:i w:val="false"/>
          <w:iCs w:val="false"/>
          <w:sz w:val="22"/>
          <w:szCs w:val="22"/>
        </w:rPr>
        <w:t xml:space="preserve"> </w:t>
      </w:r>
    </w:p>
    <w:p>
      <w:pPr>
        <w:spacing w:after="160"/>
      </w:pPr>
      <w:r>
        <w:rPr>
          <w:rFonts w:ascii="맑은 고딕" w:cs="맑은 고딕" w:eastAsia="맑은 고딕" w:hAnsi="맑은 고딕"/>
          <w:b w:val="false"/>
          <w:bCs w:val="false"/>
          <w:i w:val="false"/>
          <w:iCs w:val="false"/>
          <w:sz w:val="22"/>
          <w:szCs w:val="22"/>
        </w:rPr>
        <w:t xml:space="preserve">이렇게 보면 M1 모델의 핵심 피처(fc_nl_mean, nfe_lag1, nfe_r7 등)가 2025년과 2026년 전체 구간에서는 사용되기 어려운 상태였고, 결과적으로 2024년 한 해(366일) 데이터가 중심이 되어 학습이 이루어지고 있는 것으로 보였습니다. dead-band 필터링(|DART|&gt;$3)을 거친 M1 실제 학습 표본 597건 중에서도, 피처가 온전히 남아있는 표본은 232건(약 39%) 정도였습니다.</w:t>
      </w:r>
    </w:p>
    <w:p>
      <w:pPr>
        <w:spacing w:after="160"/>
      </w:pPr>
      <w:r>
        <w:rPr>
          <w:rFonts w:ascii="맑은 고딕" w:cs="맑은 고딕" w:eastAsia="맑은 고딕" w:hAnsi="맑은 고딕"/>
          <w:b w:val="false"/>
          <w:bCs w:val="false"/>
          <w:i w:val="false"/>
          <w:iCs w:val="false"/>
          <w:sz w:val="22"/>
          <w:szCs w:val="22"/>
        </w:rPr>
        <w:t xml:space="preserve">조금 더 살펴보고자, hourly 단위로 NFE가 유효한 행 수도 함께 비교해 보았습니다.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F5496"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구분</w:t>
            </w:r>
          </w:p>
        </w:tc>
        <w:tc>
          <w:tcPr>
            <w:tcW w:type="dxa" w:w="4500"/>
            <w:shd w:fill="2F5496"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NFE 유효 행 수</w:t>
            </w:r>
          </w:p>
        </w:tc>
      </w:tr>
      <w:tr>
        <w:tc>
          <w:tcPr>
            <w:tcW w:type="dxa" w:w="4500"/>
            <w:tcMar>
              <w:top w:type="dxa" w:w="80"/>
              <w:left w:type="dxa" w:w="100"/>
              <w:bottom w:type="dxa" w:w="80"/>
              <w:right w:type="dxa" w:w="100"/>
            </w:tcMar>
          </w:tcPr>
          <w:p>
            <w:pPr>
              <w:jc w:val="left"/>
            </w:pPr>
            <w:r>
              <w:rPr>
                <w:rFonts w:ascii="맑은 고딕" w:cs="맑은 고딕" w:eastAsia="맑은 고딕" w:hAnsi="맑은 고딕"/>
                <w:b w:val="false"/>
                <w:bCs w:val="false"/>
                <w:color w:val="000000"/>
                <w:sz w:val="20"/>
                <w:szCs w:val="20"/>
              </w:rPr>
              <w:t xml:space="preserve">전체 폴더 그대로 실행</w:t>
            </w:r>
          </w:p>
        </w:tc>
        <w:tc>
          <w:tcPr>
            <w:tcW w:type="dxa" w:w="450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8,782 / 21,741</w:t>
            </w:r>
          </w:p>
        </w:tc>
      </w:tr>
      <w:tr>
        <w:tc>
          <w:tcPr>
            <w:tcW w:type="dxa" w:w="4500"/>
            <w:shd w:fill="F2F2F2" w:val="clear"/>
            <w:tcMar>
              <w:top w:type="dxa" w:w="80"/>
              <w:left w:type="dxa" w:w="100"/>
              <w:bottom w:type="dxa" w:w="80"/>
              <w:right w:type="dxa" w:w="100"/>
            </w:tcMar>
          </w:tcPr>
          <w:p>
            <w:pPr>
              <w:jc w:val="left"/>
            </w:pPr>
            <w:r>
              <w:rPr>
                <w:rFonts w:ascii="맑은 고딕" w:cs="맑은 고딕" w:eastAsia="맑은 고딕" w:hAnsi="맑은 고딕"/>
                <w:b w:val="false"/>
                <w:bCs w:val="false"/>
                <w:color w:val="000000"/>
                <w:sz w:val="20"/>
                <w:szCs w:val="20"/>
              </w:rPr>
              <w:t xml:space="preserve">Congestion 파일 제외 후 실행</w:t>
            </w:r>
          </w:p>
        </w:tc>
        <w:tc>
          <w:tcPr>
            <w:tcW w:type="dxa" w:w="4500"/>
            <w:shd w:fill="F2F2F2" w:val="clear"/>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21,717 / 21,741</w:t>
            </w:r>
          </w:p>
        </w:tc>
      </w:tr>
    </w:tbl>
    <w:p>
      <w:pPr>
        <w:spacing w:after="160"/>
      </w:pPr>
      <w:r>
        <w:rPr>
          <w:rFonts w:ascii="맑은 고딕" w:cs="맑은 고딕" w:eastAsia="맑은 고딕" w:hAnsi="맑은 고딕"/>
          <w:b w:val="false"/>
          <w:bCs w:val="false"/>
          <w:i w:val="false"/>
          <w:iCs w:val="false"/>
          <w:sz w:val="22"/>
          <w:szCs w:val="22"/>
        </w:rPr>
        <w:t xml:space="preserve"> </w:t>
      </w:r>
    </w:p>
    <w:p>
      <w:pPr>
        <w:spacing w:after="160"/>
      </w:pPr>
      <w:r>
        <w:rPr>
          <w:rFonts w:ascii="맑은 고딕" w:cs="맑은 고딕" w:eastAsia="맑은 고딕" w:hAnsi="맑은 고딕"/>
          <w:b w:val="false"/>
          <w:bCs w:val="false"/>
          <w:i w:val="false"/>
          <w:iCs w:val="false"/>
          <w:sz w:val="22"/>
          <w:szCs w:val="22"/>
        </w:rPr>
        <w:t xml:space="preserve">MODEL_CONFIG.md 5절에 적어 주신 “ENV 단일화 이후 학습 가능 행 12,790 → 21,719 (+70%)”라는 수치는, congestion 파일을 제외하고 계산했을 때 나오는 21,717과 거의 정확히 일치했습니다. 아마 문서에 기록해 두신 검증은 congestion 파일이 폴더에 함께 있지 않던 시점에 이루어졌고, 이후 congestion 파일들이 같은 폴더에 함께 놓이면서 의도치 않게 수치가 달라진 것이 아닐까 조심스럽게 짐작해 봅니다. 그렇다 보니 지금 이 폴더를 그대로 실행하면, 애써 확인해 두신 개선 효과가 온전히 드러나지 못하는 상태인 것 같습니다.</w:t>
      </w:r>
    </w:p>
    <w:p>
      <w:pPr>
        <w:spacing w:after="160"/>
      </w:pPr>
      <w:r>
        <w:rPr>
          <w:rFonts w:ascii="맑은 고딕" w:cs="맑은 고딕" w:eastAsia="맑은 고딕" w:hAnsi="맑은 고딕"/>
          <w:b w:val="false"/>
          <w:bCs w:val="false"/>
          <w:i w:val="false"/>
          <w:iCs w:val="false"/>
          <w:sz w:val="22"/>
          <w:szCs w:val="22"/>
        </w:rPr>
        <w:t xml:space="preserve">다행스러운 점도 한 가지 있었습니다. DA와 RT 가격 값 자체(모델의 타깃이 되는 값)는 두 파일 출처 간에 정확히 일치하고 있었습니다. 같은 시각(2025-01-01T00:00:00)에 대해 두 파일의 DA/RT 값을 대조해 보니 22.87 / 18.077로 동일했습니다. 즉 라벨(타깃) 자체는 잘 보존되어 있고, 피처 쪽만 영향을 받는 상황이었습니다. 그나마 다행스럽지만, 피처가 비어 있으면 모델이 배울 신호도 함께 줄어드는 것이니 이 부분은 한 번 살펴봐 주시면 좋을 것 같습니다.</w:t>
      </w:r>
    </w:p>
    <w:p>
      <w:pPr>
        <w:spacing w:after="160"/>
      </w:pPr>
      <w:r>
        <w:rPr>
          <w:rFonts w:ascii="맑은 고딕" w:cs="맑은 고딕" w:eastAsia="맑은 고딕" w:hAnsi="맑은 고딕"/>
          <w:b w:val="false"/>
          <w:bCs w:val="false"/>
          <w:i w:val="false"/>
          <w:iCs w:val="false"/>
          <w:sz w:val="22"/>
          <w:szCs w:val="22"/>
        </w:rPr>
        <w:t xml:space="preserve">해결 방향으로는, has_da_lmp() 조건에 시스템 전역 전용 컬럼(예: “ENV: Actual - Net Load”)이 있는지를 함께 확인하도록 보완하시거나, 파일명에 congesiton / congestion 문자열이 포함된 경우 명시적으로 제외하는 필터를 추가하시면 좋을 것 같습니다. 실제로 congestion 파일을 제외하고 다시 실행해 보니, prc_low_r7(이전에는 결측으로 나와 콘솔에 nan MW로 출력되던 값)이 9204 MW로 온전하게 계산되는 것도 확인할 수 있었습니다.</w:t>
      </w:r>
    </w:p>
    <w:p>
      <w:pPr>
        <w:pStyle w:val="Heading1"/>
        <w:spacing w:after="200" w:before="360"/>
      </w:pPr>
      <w:r>
        <w:rPr>
          <w:rFonts w:ascii="맑은 고딕" w:cs="맑은 고딕" w:eastAsia="맑은 고딕" w:hAnsi="맑은 고딕"/>
          <w:b/>
          <w:bCs/>
        </w:rPr>
        <w:t xml:space="preserve">Ⅱ. 문서와 코드 사이에 살짝 결이 다른 부분</w:t>
      </w:r>
    </w:p>
    <w:p>
      <w:pPr>
        <w:pStyle w:val="Heading2"/>
        <w:spacing w:after="160" w:before="280"/>
      </w:pPr>
      <w:r>
        <w:rPr>
          <w:rFonts w:ascii="맑은 고딕" w:cs="맑은 고딕" w:eastAsia="맑은 고딕" w:hAnsi="맑은 고딕"/>
          <w:b/>
          <w:bCs/>
        </w:rPr>
        <w:t xml:space="preserve">3) 5절의 walk-forward 백테스트 결과는 지금 코드만으로는 재현이 어려워 보입니다</w:t>
      </w:r>
    </w:p>
    <w:p>
      <w:pPr>
        <w:spacing w:after="160"/>
      </w:pPr>
      <w:r>
        <w:rPr>
          <w:rFonts w:ascii="맑은 고딕" w:cs="맑은 고딕" w:eastAsia="맑은 고딕" w:hAnsi="맑은 고딕"/>
          <w:b w:val="false"/>
          <w:bCs w:val="false"/>
          <w:i w:val="false"/>
          <w:iCs w:val="false"/>
          <w:sz w:val="22"/>
          <w:szCs w:val="22"/>
        </w:rPr>
        <w:t xml:space="preserve">MODEL_CONFIG.md 5절에는 662일 구간에 대해 월별로 재학습하며 검증하신 walk-forward 백테스트 표가 상세히 담겨 있고, 1월 구간에서의 날씨 레이어 기여도까지 세심하게 분해되어 있어 인상 깊게 보았습니다. 다만 전달해 주신 스크립트 안의 historical_accuracy() 함수를 보니, 시간순으로 70/30 단일 분할만 수행하고 AUC와 간단한 원가 비교 지표 하나만 출력하는 구조였습니다. 월별 재학습이나 $/MWh 단위의 구간별 비교는 이 스크립트에는 아직 담겨 있지 않은 것 같습니다.</w:t>
      </w:r>
    </w:p>
    <w:p>
      <w:pPr>
        <w:spacing w:after="160"/>
      </w:pPr>
      <w:r>
        <w:rPr>
          <w:rFonts w:ascii="맑은 고딕" w:cs="맑은 고딕" w:eastAsia="맑은 고딕" w:hAnsi="맑은 고딕"/>
          <w:b w:val="false"/>
          <w:bCs w:val="false"/>
          <w:i w:val="false"/>
          <w:iCs w:val="false"/>
          <w:sz w:val="22"/>
          <w:szCs w:val="22"/>
        </w:rPr>
        <w:t xml:space="preserve">그러다 보니 지금 받은 코드만으로는 5절의 그 표를 직접 검증하거나 재현하기는 다소 어려울 것 같습니다. 아마 별도의 백테스트 전용 스크립트나 노트북에서 산출하신 결과가 아닐까 싶은데, 괜찮으시다면 그 백테스트 코드도 함께 전달받아 검토할 수 있으면 문서의 신뢰도가 한층 더 탄탄해질 것 같습니다. 조금 더 욕심을 내보자면, 이 walk-forward 로직을 run_models_d1_d4_v4_weather.py 안에 정식 함수로 포함시켜 주시면, 코드를 실행할 때마다 문서의 내용과 동일한 방식으로 검증이 자동으로 재현될 수 있을 것 같습니다. “문서에 서술된 검증”과 “실제로 실행되는 검증”이 지금처럼 따로 떨어져 있으면, 다음 버전에서도 비슷한 결이 다른 지점이 생길 수 있어 미리 여쭙듯이 말씀드려 봅니다.</w:t>
      </w:r>
    </w:p>
    <w:p>
      <w:pPr>
        <w:pStyle w:val="Heading1"/>
        <w:spacing w:after="200" w:before="360"/>
      </w:pPr>
      <w:r>
        <w:rPr>
          <w:rFonts w:ascii="맑은 고딕" w:cs="맑은 고딕" w:eastAsia="맑은 고딕" w:hAnsi="맑은 고딕"/>
          <w:b/>
          <w:bCs/>
        </w:rPr>
        <w:t xml:space="preserve">Ⅲ. 앞으로 더 좋아지실 수 있는 지점 — 우선순위를 여쭙듯이 정리해 보았습니다</w:t>
      </w:r>
    </w:p>
    <w:p>
      <w:pPr>
        <w:pStyle w:val="Heading2"/>
        <w:spacing w:after="160" w:before="280"/>
      </w:pPr>
      <w:r>
        <w:rPr>
          <w:rFonts w:ascii="맑은 고딕" w:cs="맑은 고딕" w:eastAsia="맑은 고딕" w:hAnsi="맑은 고딕"/>
          <w:b/>
          <w:bCs/>
        </w:rPr>
        <w:t xml:space="preserve">4) 원가 차이의 통계적 유의성 검정 (최우선 권장)</w:t>
      </w:r>
    </w:p>
    <w:p>
      <w:pPr>
        <w:spacing w:after="160"/>
      </w:pPr>
      <w:r>
        <w:rPr>
          <w:rFonts w:ascii="맑은 고딕" w:cs="맑은 고딕" w:eastAsia="맑은 고딕" w:hAnsi="맑은 고딕"/>
          <w:b w:val="false"/>
          <w:bCs w:val="false"/>
          <w:i w:val="false"/>
          <w:iCs w:val="false"/>
          <w:sz w:val="22"/>
          <w:szCs w:val="22"/>
        </w:rPr>
        <w:t xml:space="preserve">MODEL_CONFIG.md 9절에 스스로 “현재 $0.1~0.3 차이는 노이즈 범위일 수 있다”고 이미 적어두셨는데, 이 문제의식은 상당히 정확하다고 생각합니다. 오히려 이 부분을 다음 버전의 최우선 과제로 격상하시는 것을 권해드립니다. multi-seed 반복이나 block bootstrap을 통해 v4의 개선 효과가 통계적으로 유의한 수준인지부터 확인하셔야, 이후에 어떤 개선을 더하든 그 효과를 신뢰 있게 측정할 수 있습니다. 지금처럼 표본이 2.5년 정도로 짧은 상황에서는 특히 이 검정이 중요해 보입니다.</w:t>
      </w:r>
    </w:p>
    <w:p>
      <w:pPr>
        <w:pStyle w:val="Heading2"/>
        <w:spacing w:after="160" w:before="280"/>
      </w:pPr>
      <w:r>
        <w:rPr>
          <w:rFonts w:ascii="맑은 고딕" w:cs="맑은 고딕" w:eastAsia="맑은 고딕" w:hAnsi="맑은 고딕"/>
          <w:b/>
          <w:bCs/>
        </w:rPr>
        <w:t xml:space="preserve">5) Congestion 파일의 지역별 정보를 폐기하지 마시고 활용하시길 권합니다</w:t>
      </w:r>
    </w:p>
    <w:p>
      <w:pPr>
        <w:spacing w:after="160"/>
      </w:pPr>
      <w:r>
        <w:rPr>
          <w:rFonts w:ascii="맑은 고딕" w:cs="맑은 고딕" w:eastAsia="맑은 고딕" w:hAnsi="맑은 고딕"/>
          <w:b w:val="false"/>
          <w:bCs w:val="false"/>
          <w:i w:val="false"/>
          <w:iCs w:val="false"/>
          <w:sz w:val="22"/>
          <w:szCs w:val="22"/>
        </w:rPr>
        <w:t xml:space="preserve">흥미로운 점은, 지금 문제가 되고 있는 congestion 파일들 안에 오히려 상당히 가치 있는 정보가 담겨 있다는 사실입니다. Houston/North/South/West 네 개 지역(hub)별 기온, 풍력, 태양광 발전량이 시간 단위로 기록되어 있는데, 이는 system-wide 평균 하나만 쓰는 지금 구조보다 훨씬 정교한 신호가 될 수 있습니다.</w:t>
      </w:r>
    </w:p>
    <w:p>
      <w:pPr>
        <w:spacing w:after="160"/>
      </w:pPr>
      <w:r>
        <w:rPr>
          <w:rFonts w:ascii="맑은 고딕" w:cs="맑은 고딕" w:eastAsia="맑은 고딕" w:hAnsi="맑은 고딕"/>
          <w:b w:val="false"/>
          <w:bCs w:val="false"/>
          <w:i w:val="false"/>
          <w:iCs w:val="false"/>
          <w:sz w:val="22"/>
          <w:szCs w:val="22"/>
        </w:rPr>
        <w:t xml:space="preserve">LZ_HOUSTON 가격의 변동성은 결국 “Houston 지역은 무더운데 West Texas 풍력 발전이 죽어 있다”와 같은 지역 간 불균형에서 크게 좌우되는 경우가 많습니다. 지금은 4개 도시 평균 기온 anomaly 하나로만 오버레이를 걸고 계신데, 여기에 West 지역 풍력 발전 비중이나 Houston과 나머지 지역 간 온도 격차 같은 피처를 M1·M4에 추가해 보시면, 현재 AUC 0.52 수준에서 조금이라도 개선의 여지가 있을 것으로 보입니다. 다만 이 작업을 하시려면 앞서 말씀드린 파일 자동 인식 로직부터 먼저 정리하셔서, “학습용 시계열 데이터”와 “지역별 피처 소스”를 코드 상에서 명확히 분리해 다루셔야 할 것입니다.</w:t>
      </w:r>
    </w:p>
    <w:p>
      <w:pPr>
        <w:pStyle w:val="Heading2"/>
        <w:spacing w:after="160" w:before="280"/>
      </w:pPr>
      <w:r>
        <w:rPr>
          <w:rFonts w:ascii="맑은 고딕" w:cs="맑은 고딕" w:eastAsia="맑은 고딕" w:hAnsi="맑은 고딕"/>
          <w:b/>
          <w:bCs/>
        </w:rPr>
        <w:t xml:space="preserve">6) 여름철 이상고온 표본 확충</w:t>
      </w:r>
    </w:p>
    <w:p>
      <w:pPr>
        <w:spacing w:after="160"/>
      </w:pPr>
      <w:r>
        <w:rPr>
          <w:rFonts w:ascii="맑은 고딕" w:cs="맑은 고딕" w:eastAsia="맑은 고딕" w:hAnsi="맑은 고딕"/>
          <w:b w:val="false"/>
          <w:bCs w:val="false"/>
          <w:i w:val="false"/>
          <w:iCs w:val="false"/>
          <w:sz w:val="22"/>
          <w:szCs w:val="22"/>
        </w:rPr>
        <w:t xml:space="preserve">MODEL_CONFIG.md의 “다음 단계 후보” 1번으로 이미 언급하신 부분과 같은 맥락인데, 직접 계산해 보니 전체 906일 중 상위 5% 이상고온일이 46일에 불과했습니다. 오버레이 임계값 자체가 바로 이 분포에서 산출되는 것이라, 표본이 지금보다 두 배 정도로만 늘어도 폭염 쪽 로직의 신뢰도가 눈에 띄게 개선될 것으로 보입니다. 2022~2023년 폭염 연도의 데이터를 추가로 확보하시는 것을 권해드립니다.</w:t>
      </w:r>
    </w:p>
    <w:p>
      <w:pPr>
        <w:pStyle w:val="Heading2"/>
        <w:spacing w:after="160" w:before="280"/>
      </w:pPr>
      <w:r>
        <w:rPr>
          <w:rFonts w:ascii="맑은 고딕" w:cs="맑은 고딕" w:eastAsia="맑은 고딕" w:hAnsi="맑은 고딕"/>
          <w:b/>
          <w:bCs/>
        </w:rPr>
        <w:t xml:space="preserve">7) Implied Heat Rate 피처 추가</w:t>
      </w:r>
    </w:p>
    <w:p>
      <w:pPr>
        <w:spacing w:after="160"/>
      </w:pPr>
      <w:r>
        <w:rPr>
          <w:rFonts w:ascii="맑은 고딕" w:cs="맑은 고딕" w:eastAsia="맑은 고딕" w:hAnsi="맑은 고딕"/>
          <w:b w:val="false"/>
          <w:bCs w:val="false"/>
          <w:i w:val="false"/>
          <w:iCs w:val="false"/>
          <w:sz w:val="22"/>
          <w:szCs w:val="22"/>
        </w:rPr>
        <w:t xml:space="preserve">이 역시 문서에 이미 다음 단계로 적어두신 항목인데, 가스가격 파일(GD Katy_2021_2026.csv)이 2021년부터 2026년까지 전 구간을 이미 보유하고 계시니, 굳이 “가스가격 확보 시” 조건을 걸어두실 필요 없이 이번 버전에서 바로 전력가격 대비 가스가격 비율(implied heat rate)을 M2 피처에 추가하실 수 있을 것 같습니다.</w:t>
      </w:r>
    </w:p>
    <w:p>
      <w:pPr>
        <w:pStyle w:val="Heading1"/>
        <w:spacing w:after="200" w:before="360"/>
      </w:pPr>
      <w:r>
        <w:rPr>
          <w:rFonts w:ascii="맑은 고딕" w:cs="맑은 고딕" w:eastAsia="맑은 고딕" w:hAnsi="맑은 고딕"/>
          <w:b/>
          <w:bCs/>
        </w:rPr>
        <w:t xml:space="preserve">Ⅳ. 우려하지 않으셔도 될 것 같은 부분 — 실제 데이터로 확인한 긍정적인 지점</w:t>
      </w:r>
    </w:p>
    <w:p>
      <w:pPr>
        <w:spacing w:after="160"/>
      </w:pPr>
      <w:r>
        <w:rPr>
          <w:rFonts w:ascii="맑은 고딕" w:cs="맑은 고딕" w:eastAsia="맑은 고딕" w:hAnsi="맑은 고딕"/>
          <w:b w:val="false"/>
          <w:bCs w:val="false"/>
          <w:i w:val="false"/>
          <w:iCs w:val="false"/>
          <w:sz w:val="22"/>
          <w:szCs w:val="22"/>
        </w:rPr>
        <w:t xml:space="preserve">여기까지 지적할 점들을 말씀드렸지만, 실제로 검증해 본 결과 오히려 걱정할 필요가 없다고 확인된 부분들도 있어서 함께 말씀드립니다. 이런 부분까지 균형 있게 아셔야 다음 개선 작업에 힘을 어디에 쏟으실지 판단하시기 편하실 것 같습니다.</w:t>
      </w:r>
    </w:p>
    <w:p>
      <w:pPr>
        <w:pStyle w:val="Heading2"/>
        <w:spacing w:after="160" w:before="280"/>
      </w:pPr>
      <w:r>
        <w:rPr>
          <w:rFonts w:ascii="맑은 고딕" w:cs="맑은 고딕" w:eastAsia="맑은 고딕" w:hAnsi="맑은 고딕"/>
          <w:b/>
          <w:bCs/>
        </w:rPr>
        <w:t xml:space="preserve">8) 앙상블 내 세 모델의 다양성은 이미 충분히 확보되어 있습니다</w:t>
      </w:r>
    </w:p>
    <w:p>
      <w:pPr>
        <w:spacing w:after="160"/>
      </w:pPr>
      <w:r>
        <w:rPr>
          <w:rFonts w:ascii="맑은 고딕" w:cs="맑은 고딕" w:eastAsia="맑은 고딕" w:hAnsi="맑은 고딕"/>
          <w:b w:val="false"/>
          <w:bCs w:val="false"/>
          <w:i w:val="false"/>
          <w:iCs w:val="false"/>
          <w:sz w:val="22"/>
          <w:szCs w:val="22"/>
        </w:rPr>
        <w:t xml:space="preserve">M1, M2, M4가 모두 XGBoost 계열이고 피처도 상당 부분 겹치기 때문에, 혹시 세 모델이 비슷한 실수를 반복하며 앙상블 효과가 떨어지는 것은 아닌지 염려가 되어 holdout 구간에서 세 모델의 vote 값 간 상관관계를 직접 계산해 보았습니다.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F5496"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
            </w:r>
          </w:p>
        </w:tc>
        <w:tc>
          <w:tcPr>
            <w:tcW w:type="dxa" w:w="2250"/>
            <w:shd w:fill="2F5496"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v1 (M1)</w:t>
            </w:r>
          </w:p>
        </w:tc>
        <w:tc>
          <w:tcPr>
            <w:tcW w:type="dxa" w:w="2250"/>
            <w:shd w:fill="2F5496"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v2 (M2, 부호반전)</w:t>
            </w:r>
          </w:p>
        </w:tc>
        <w:tc>
          <w:tcPr>
            <w:tcW w:type="dxa" w:w="2250"/>
            <w:shd w:fill="2F5496" w:val="clear"/>
            <w:tcMar>
              <w:top w:type="dxa" w:w="80"/>
              <w:left w:type="dxa" w:w="100"/>
              <w:bottom w:type="dxa" w:w="80"/>
              <w:right w:type="dxa" w:w="100"/>
            </w:tcMar>
          </w:tcPr>
          <w:p>
            <w:pPr>
              <w:jc w:val="center"/>
            </w:pPr>
            <w:r>
              <w:rPr>
                <w:rFonts w:ascii="맑은 고딕" w:cs="맑은 고딕" w:eastAsia="맑은 고딕" w:hAnsi="맑은 고딕"/>
                <w:b/>
                <w:bCs/>
                <w:color w:val="FFFFFF"/>
                <w:sz w:val="20"/>
                <w:szCs w:val="20"/>
              </w:rPr>
              <w:t xml:space="preserve">v4 (M4)</w:t>
            </w:r>
          </w:p>
        </w:tc>
      </w:tr>
      <w:tr>
        <w:tc>
          <w:tcPr>
            <w:tcW w:type="dxa" w:w="2250"/>
            <w:tcMar>
              <w:top w:type="dxa" w:w="80"/>
              <w:left w:type="dxa" w:w="100"/>
              <w:bottom w:type="dxa" w:w="80"/>
              <w:right w:type="dxa" w:w="100"/>
            </w:tcMar>
          </w:tcPr>
          <w:p>
            <w:pPr>
              <w:jc w:val="left"/>
            </w:pPr>
            <w:r>
              <w:rPr>
                <w:rFonts w:ascii="맑은 고딕" w:cs="맑은 고딕" w:eastAsia="맑은 고딕" w:hAnsi="맑은 고딕"/>
                <w:b w:val="false"/>
                <w:bCs w:val="false"/>
                <w:color w:val="000000"/>
                <w:sz w:val="20"/>
                <w:szCs w:val="20"/>
              </w:rPr>
              <w:t xml:space="preserve">v1</w:t>
            </w:r>
          </w:p>
        </w:tc>
        <w:tc>
          <w:tcPr>
            <w:tcW w:type="dxa" w:w="225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1.00</w:t>
            </w:r>
          </w:p>
        </w:tc>
        <w:tc>
          <w:tcPr>
            <w:tcW w:type="dxa" w:w="225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-0.12</w:t>
            </w:r>
          </w:p>
        </w:tc>
        <w:tc>
          <w:tcPr>
            <w:tcW w:type="dxa" w:w="225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-0.21</w:t>
            </w:r>
          </w:p>
        </w:tc>
      </w:tr>
      <w:tr>
        <w:tc>
          <w:tcPr>
            <w:tcW w:type="dxa" w:w="2250"/>
            <w:shd w:fill="F2F2F2" w:val="clear"/>
            <w:tcMar>
              <w:top w:type="dxa" w:w="80"/>
              <w:left w:type="dxa" w:w="100"/>
              <w:bottom w:type="dxa" w:w="80"/>
              <w:right w:type="dxa" w:w="100"/>
            </w:tcMar>
          </w:tcPr>
          <w:p>
            <w:pPr>
              <w:jc w:val="left"/>
            </w:pPr>
            <w:r>
              <w:rPr>
                <w:rFonts w:ascii="맑은 고딕" w:cs="맑은 고딕" w:eastAsia="맑은 고딕" w:hAnsi="맑은 고딕"/>
                <w:b w:val="false"/>
                <w:bCs w:val="false"/>
                <w:color w:val="000000"/>
                <w:sz w:val="20"/>
                <w:szCs w:val="20"/>
              </w:rPr>
              <w:t xml:space="preserve">v2</w:t>
            </w:r>
          </w:p>
        </w:tc>
        <w:tc>
          <w:tcPr>
            <w:tcW w:type="dxa" w:w="2250"/>
            <w:shd w:fill="F2F2F2" w:val="clear"/>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-0.12</w:t>
            </w:r>
          </w:p>
        </w:tc>
        <w:tc>
          <w:tcPr>
            <w:tcW w:type="dxa" w:w="2250"/>
            <w:shd w:fill="F2F2F2" w:val="clear"/>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1.00</w:t>
            </w:r>
          </w:p>
        </w:tc>
        <w:tc>
          <w:tcPr>
            <w:tcW w:type="dxa" w:w="2250"/>
            <w:shd w:fill="F2F2F2" w:val="clear"/>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0.23</w:t>
            </w:r>
          </w:p>
        </w:tc>
      </w:tr>
      <w:tr>
        <w:tc>
          <w:tcPr>
            <w:tcW w:type="dxa" w:w="2250"/>
            <w:tcMar>
              <w:top w:type="dxa" w:w="80"/>
              <w:left w:type="dxa" w:w="100"/>
              <w:bottom w:type="dxa" w:w="80"/>
              <w:right w:type="dxa" w:w="100"/>
            </w:tcMar>
          </w:tcPr>
          <w:p>
            <w:pPr>
              <w:jc w:val="left"/>
            </w:pPr>
            <w:r>
              <w:rPr>
                <w:rFonts w:ascii="맑은 고딕" w:cs="맑은 고딕" w:eastAsia="맑은 고딕" w:hAnsi="맑은 고딕"/>
                <w:b w:val="false"/>
                <w:bCs w:val="false"/>
                <w:color w:val="000000"/>
                <w:sz w:val="20"/>
                <w:szCs w:val="20"/>
              </w:rPr>
              <w:t xml:space="preserve">v4</w:t>
            </w:r>
          </w:p>
        </w:tc>
        <w:tc>
          <w:tcPr>
            <w:tcW w:type="dxa" w:w="225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-0.21</w:t>
            </w:r>
          </w:p>
        </w:tc>
        <w:tc>
          <w:tcPr>
            <w:tcW w:type="dxa" w:w="225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0.23</w:t>
            </w:r>
          </w:p>
        </w:tc>
        <w:tc>
          <w:tcPr>
            <w:tcW w:type="dxa" w:w="2250"/>
            <w:tcMar>
              <w:top w:type="dxa" w:w="80"/>
              <w:left w:type="dxa" w:w="100"/>
              <w:bottom w:type="dxa" w:w="80"/>
              <w:right w:type="dxa" w:w="100"/>
            </w:tcMar>
          </w:tcPr>
          <w:p>
            <w:pPr>
              <w:jc w:val="center"/>
            </w:pPr>
            <w:r>
              <w:rPr>
                <w:rFonts w:ascii="맑은 고딕" w:cs="맑은 고딕" w:eastAsia="맑은 고딕" w:hAnsi="맑은 고딕"/>
                <w:b w:val="false"/>
                <w:bCs w:val="false"/>
                <w:color w:val="000000"/>
                <w:sz w:val="20"/>
                <w:szCs w:val="20"/>
              </w:rPr>
              <w:t xml:space="preserve">1.00</w:t>
            </w:r>
          </w:p>
        </w:tc>
      </w:tr>
    </w:tbl>
    <w:p>
      <w:pPr>
        <w:spacing w:after="160"/>
      </w:pPr>
      <w:r>
        <w:rPr>
          <w:rFonts w:ascii="맑은 고딕" w:cs="맑은 고딕" w:eastAsia="맑은 고딕" w:hAnsi="맑은 고딕"/>
          <w:b w:val="false"/>
          <w:bCs w:val="false"/>
          <w:i w:val="false"/>
          <w:iCs w:val="false"/>
          <w:sz w:val="22"/>
          <w:szCs w:val="22"/>
        </w:rPr>
        <w:t xml:space="preserve"> </w:t>
      </w:r>
    </w:p>
    <w:p>
      <w:pPr>
        <w:spacing w:after="160"/>
      </w:pPr>
      <w:r>
        <w:rPr>
          <w:rFonts w:ascii="맑은 고딕" w:cs="맑은 고딕" w:eastAsia="맑은 고딕" w:hAnsi="맑은 고딕"/>
          <w:b w:val="false"/>
          <w:bCs w:val="false"/>
          <w:i w:val="false"/>
          <w:iCs w:val="false"/>
          <w:sz w:val="22"/>
          <w:szCs w:val="22"/>
        </w:rPr>
        <w:t xml:space="preserve">보시는 것처럼 세 모델 간 상관관계가 전반적으로 낮거나 오히려 음의 값을 보였습니다. 이는 세 모델이 서로 다른 방식으로 오차를 내고 있다는 뜻이고, 단순 평균 앙상블이 실제로 분산을 줄이는 효과를 내고 있다는 근거가 됩니다. 굳이 알고리즘을 더 다양화하실 필요는 없어 보이며, 이 부분은 잘 설계되어 있다고 판단됩니다.</w:t>
      </w:r>
    </w:p>
    <w:p>
      <w:pPr>
        <w:pStyle w:val="Heading2"/>
        <w:spacing w:after="160" w:before="280"/>
      </w:pPr>
      <w:r>
        <w:rPr>
          <w:rFonts w:ascii="맑은 고딕" w:cs="맑은 고딕" w:eastAsia="맑은 고딕" w:hAnsi="맑은 고딕"/>
          <w:b/>
          <w:bCs/>
        </w:rPr>
        <w:t xml:space="preserve">9) basis_prem의 $2 임계값은 임의로 정하신 숫자가 아니었습니다</w:t>
      </w:r>
    </w:p>
    <w:p>
      <w:pPr>
        <w:spacing w:after="160"/>
      </w:pPr>
      <w:r>
        <w:rPr>
          <w:rFonts w:ascii="맑은 고딕" w:cs="맑은 고딕" w:eastAsia="맑은 고딕" w:hAnsi="맑은 고딕"/>
          <w:b w:val="false"/>
          <w:bCs w:val="false"/>
          <w:i w:val="false"/>
          <w:iCs w:val="false"/>
          <w:sz w:val="22"/>
          <w:szCs w:val="22"/>
        </w:rPr>
        <w:t xml:space="preserve">hou_basis(=RT_LZ − RT_HB) 분포를 직접 확인해 보니, $2라는 임계값이 대략 전체 분포의 70번째 백분위수에 해당했습니다. 즉 “상위 30%에 해당하는 날을 프리미엄으로 정의한다”는 합리적인 기준을 잡고 계셨던 것으로 보입니다. 다만 이 근거가 코드 주석이나 문서 어디에도 명시되어 있지 않아서, 나중에 다른 분이 코드를 검토하실 때 “왜 하필 2달러인가”라는 의문을 가지실 수 있을 것 같습니다. 짧게라도 근거를 주석으로 남겨두시면 좋을 것 같습니다.</w:t>
      </w:r>
    </w:p>
    <w:p>
      <w:pPr>
        <w:pStyle w:val="Heading1"/>
        <w:spacing w:after="200" w:before="360"/>
      </w:pPr>
      <w:r>
        <w:rPr>
          <w:rFonts w:ascii="맑은 고딕" w:cs="맑은 고딕" w:eastAsia="맑은 고딕" w:hAnsi="맑은 고딕"/>
          <w:b/>
          <w:bCs/>
        </w:rPr>
        <w:t xml:space="preserve">Ⅴ. 운영 단계에서 챙기시면 좋을 안전장치</w:t>
      </w:r>
    </w:p>
    <w:p>
      <w:pPr>
        <w:pStyle w:val="Heading2"/>
        <w:spacing w:after="160" w:before="280"/>
      </w:pPr>
      <w:r>
        <w:rPr>
          <w:rFonts w:ascii="맑은 고딕" w:cs="맑은 고딕" w:eastAsia="맑은 고딕" w:hAnsi="맑은 고딕"/>
          <w:b/>
          <w:bCs/>
        </w:rPr>
        <w:t xml:space="preserve">10) 예보 입력값에 대한 범위 검증</w:t>
      </w:r>
    </w:p>
    <w:p>
      <w:pPr>
        <w:spacing w:after="160"/>
      </w:pPr>
      <w:r>
        <w:rPr>
          <w:rFonts w:ascii="맑은 고딕" w:cs="맑은 고딕" w:eastAsia="맑은 고딕" w:hAnsi="맑은 고딕"/>
          <w:b w:val="false"/>
          <w:bCs w:val="false"/>
          <w:i w:val="false"/>
          <w:iCs w:val="false"/>
          <w:sz w:val="22"/>
          <w:szCs w:val="22"/>
        </w:rPr>
        <w:t xml:space="preserve">트리 기반 모델인 XGBoost는 학습 범위를 벗어난 값에 대해 외삽을 하지 못하고, 그냥 가장 가까운 leaf의 값으로 그대로 수렴해 버리는 특성이 있습니다. 그런데 지금 스크립트는 사용자가 forecast_input.csv에 입력하는 fc_load_mw, fc_wind_mw, fc_solar_mw 값이 학습 데이터 범위를 벗어나더라도 아무런 경고 없이 그대로 예측을 산출합니다. 이는 앞서 말씀드린 “여름 표본이 부족하다”는 한계와 정확히 맞물리는 위험 지점이기도 합니다. 예보값이 학습 데이터의 최댓값·최솟값을 벗어나는 경우 콘솔에 경고 메시지를 출력하는 정도의 안전장치만 추가하셔도, 사용자가 “이 예측은 모델이 한 번도 본 적 없는 영역에 대한 것”이라는 점을 인지하고 판단에 참고하실 수 있을 것 같습니다.</w:t>
      </w:r>
    </w:p>
    <w:p>
      <w:pPr>
        <w:pStyle w:val="Heading2"/>
        <w:spacing w:after="160" w:before="280"/>
      </w:pPr>
      <w:r>
        <w:rPr>
          <w:rFonts w:ascii="맑은 고딕" w:cs="맑은 고딕" w:eastAsia="맑은 고딕" w:hAnsi="맑은 고딕"/>
          <w:b/>
          <w:bCs/>
        </w:rPr>
        <w:t xml:space="preserve">11) M3 Hard Gate 재설계 방향 구체화</w:t>
      </w:r>
    </w:p>
    <w:p>
      <w:pPr>
        <w:spacing w:after="160"/>
      </w:pPr>
      <w:r>
        <w:rPr>
          <w:rFonts w:ascii="맑은 고딕" w:cs="맑은 고딕" w:eastAsia="맑은 고딕" w:hAnsi="맑은 고딕"/>
          <w:b w:val="false"/>
          <w:bCs w:val="false"/>
          <w:i w:val="false"/>
          <w:iCs w:val="false"/>
          <w:sz w:val="22"/>
          <w:szCs w:val="22"/>
        </w:rPr>
        <w:t xml:space="preserve">문서의 “다음 단계 후보” 3번에서 이미 “RT 폭등 위험에만 발동하도록 트리거를 재설계해야 한다”고 정확히 짚으셨는데, 조금 더 구체적인 방향을 말씀드리자면 현재처럼 정적인 예비력 수준(quantile 기반)에 반응하는 대신, 순부하(net load)의 급격한 변화율(ramp)에 반응하도록 트리거를 재설계해 보시는 것을 권해드립니다. 이렇게 하면 한파형 스트레스(DA 폭등)와 폭염형 스트레스(RT 급등)를 조건 자체에서 어느 정도 구분해낼 수 있을 것으로 보입니다.</w:t>
      </w:r>
    </w:p>
    <w:p>
      <w:pPr>
        <w:pStyle w:val="Heading2"/>
        <w:spacing w:after="160" w:before="280"/>
      </w:pPr>
      <w:r>
        <w:rPr>
          <w:rFonts w:ascii="맑은 고딕" w:cs="맑은 고딕" w:eastAsia="맑은 고딕" w:hAnsi="맑은 고딕"/>
          <w:b/>
          <w:bCs/>
        </w:rPr>
        <w:t xml:space="preserve">12) ERCOT EEA 경보 및 발전기 강제정지 forward 데이터 확보</w:t>
      </w:r>
    </w:p>
    <w:p>
      <w:pPr>
        <w:spacing w:after="160"/>
      </w:pPr>
      <w:r>
        <w:rPr>
          <w:rFonts w:ascii="맑은 고딕" w:cs="맑은 고딕" w:eastAsia="맑은 고딕" w:hAnsi="맑은 고딕"/>
          <w:b w:val="false"/>
          <w:bCs w:val="false"/>
          <w:i w:val="false"/>
          <w:iCs w:val="false"/>
          <w:sz w:val="22"/>
          <w:szCs w:val="22"/>
        </w:rPr>
        <w:t xml:space="preserve">이 부분은 문서의 “다음 단계 후보” 4번에서 이미 언급하신 내용과 같은데, 다시 한번 강조해서 말씀드리고 싶습니다. 지금 M3와 M4의 regime 변수가 D0 시점의 최근값을 D+1~D+4에 그대로 복사하는 구조적 한계를 가지고 있는데, 이는 애초에 미래 시점에 대한 사전 정보가 없기 때문에 생기는 문제입니다. 이 외부 데이터를 확보하시면 이 구조적 한계 자체가 해결되기 때문에, 지금까지 말씀드린 다른 개선들보다도 전체 시스템의 성능에 미치는 영향이 클 것으로 예상됩니다. 우선순위를 정하신다면 이 항목을 상당히 높게 잡으셔도 좋을 것 같습니다.</w:t>
      </w:r>
    </w:p>
    <w:p>
      <w:pPr>
        <w:pBdr>
          <w:bottom w:val="single" w:color="AAAAAA" w:sz="6" w:space="1"/>
        </w:pBdr>
        <w:spacing w:after="240"/>
      </w:pPr>
    </w:p>
    <w:p>
      <w:pPr>
        <w:pStyle w:val="Heading2"/>
        <w:spacing w:after="160" w:before="280"/>
      </w:pPr>
      <w:r>
        <w:rPr>
          <w:rFonts w:ascii="맑은 고딕" w:cs="맑은 고딕" w:eastAsia="맑은 고딕" w:hAnsi="맑은 고딕"/>
          <w:b/>
          <w:bCs/>
        </w:rPr>
        <w:t xml:space="preserve">마무리 말씀</w:t>
      </w:r>
    </w:p>
    <w:p>
      <w:pPr>
        <w:spacing w:after="160"/>
      </w:pPr>
      <w:r>
        <w:rPr>
          <w:rFonts w:ascii="맑은 고딕" w:cs="맑은 고딕" w:eastAsia="맑은 고딕" w:hAnsi="맑은 고딕"/>
          <w:b w:val="false"/>
          <w:bCs w:val="false"/>
          <w:i w:val="false"/>
          <w:iCs w:val="false"/>
          <w:sz w:val="22"/>
          <w:szCs w:val="22"/>
        </w:rPr>
        <w:t xml:space="preserve">정리해서 말씀드리면, 먼저 날씨 파일 인식 부분과 congestion 파일 관련 부분을 살펴봐 주시고, 그다음으로 walk-forward 검증을 코드 안에 정식으로 담아 주시면서 원가 차이의 통계적 유의성부터 확인해 보시면 좋을 것 같습니다. 그 위에 지역별 피처 추가, 여름 표본 보강, implied heat rate와 같은 개선을 차근차근 쌓아 가시면 좋을 것 같습니다. 앙상블 다양성이나 basis 임계값처럼 이미 잘 설계해 두신 부분도 함께 말씀드렸으니, 균형 있게 참고해 주시면 감사하겠습니다. 늘 꼼꼼하게 준비해 주셔서 검토하는 저 역시 많이 배우고 있습니다.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2026-07-22T08:47:15.770Z</dcterms:created>
  <dcterms:modified xsi:type="dcterms:W3CDTF">2026-07-22T08:47:15.780Z</dcterms:modified>
</cp:coreProperties>
</file>

<file path=docProps/custom.xml><?xml version="1.0" encoding="utf-8"?>
<Properties xmlns="http://schemas.openxmlformats.org/officeDocument/2006/custom-properties" xmlns:vt="http://schemas.openxmlformats.org/officeDocument/2006/docPropsVTypes"/>
</file>