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right="0" w:firstLine="0" w:firstLineChars="0"/>
        <w:jc w:val="center"/>
        <w:textAlignment w:val="auto"/>
        <w:rPr>
          <w:rFonts w:hint="eastAsia" w:ascii="黑体" w:eastAsia="黑体"/>
          <w:b/>
          <w:sz w:val="48"/>
        </w:rPr>
      </w:pPr>
      <w:r>
        <w:rPr>
          <w:rFonts w:hint="default" w:ascii="helvetica" w:hAnsi="helvetica" w:eastAsia="黑体" w:cs="helvetica"/>
          <w:b/>
          <w:bCs/>
          <w:kern w:val="2"/>
          <w:sz w:val="44"/>
          <w:szCs w:val="44"/>
          <w:lang w:val="en-US" w:eastAsia="zh-CN" w:bidi="ar-SA"/>
        </w:rPr>
        <w:t>Lesson 1  Introducing WonderCam</w:t>
      </w:r>
    </w:p>
    <w:p>
      <w:pPr>
        <w:pStyle w:val="2"/>
        <w:keepNext/>
        <w:keepLines/>
        <w:numPr>
          <w:ilvl w:val="0"/>
          <w:numId w:val="1"/>
        </w:numPr>
        <w:autoSpaceDE/>
        <w:autoSpaceDN/>
        <w:bidi w:val="0"/>
        <w:spacing w:before="30" w:beforeLines="0" w:beforeAutospacing="0" w:after="50" w:afterLines="0" w:afterAutospacing="0" w:line="360" w:lineRule="auto"/>
        <w:ind w:left="0" w:leftChars="0" w:firstLine="0" w:firstLineChars="0"/>
        <w:jc w:val="both"/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/>
        </w:rPr>
      </w:pPr>
      <w:bookmarkStart w:id="0" w:name="1.产品简介"/>
      <w:bookmarkEnd w:id="0"/>
      <w:bookmarkStart w:id="1" w:name="1.产品简介"/>
      <w:bookmarkEnd w:id="1"/>
      <w:r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/>
        </w:rPr>
        <w:t>Instructions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  <w:t xml:space="preserve">WonderCam is an user-friendly AI visual module with eight built-in functions: Color Recognition, Facial Recognition, AprilTag Recognition, Visual Line Following, Numeric Recognition, </w:t>
      </w:r>
      <w:r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  <w:t>Landmark</w:t>
      </w: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  <w:t xml:space="preserve"> Recognition, Image Classification and Feature Learning.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  <w:t xml:space="preserve">WonderCam make learning AI fun and easy to comprehend. With 1-Click Training feature, it can readily program many creative AI visual projects.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  <w:t xml:space="preserve">WonderCam IIC connector works seamlessly with many global leading controllers like micro:bit, Arduino, Raspberry Pi etc. By sending the recognized result output </w:t>
      </w:r>
      <w:bookmarkStart w:id="6" w:name="_GoBack"/>
      <w:bookmarkEnd w:id="6"/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  <w:t xml:space="preserve">to the controller, you can focus on project creativity without the programming complexity.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</w:pPr>
    </w:p>
    <w:p>
      <w:pPr>
        <w:pStyle w:val="4"/>
        <w:spacing w:before="10"/>
        <w:jc w:val="center"/>
        <w:rPr>
          <w:sz w:val="16"/>
        </w:rPr>
      </w:pPr>
      <w:r>
        <w:drawing>
          <wp:inline distT="0" distB="0" distL="0" distR="0">
            <wp:extent cx="3207385" cy="30473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677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6"/>
        </w:rPr>
        <w:sectPr>
          <w:headerReference r:id="rId5" w:type="default"/>
          <w:footerReference r:id="rId6" w:type="default"/>
          <w:type w:val="continuous"/>
          <w:pgSz w:w="11910" w:h="16840"/>
          <w:pgMar w:top="1640" w:right="1580" w:bottom="1400" w:left="1580" w:header="1044" w:footer="1209" w:gutter="0"/>
          <w:pgNumType w:start="1"/>
          <w:cols w:space="720" w:num="1"/>
        </w:sectPr>
      </w:pPr>
    </w:p>
    <w:p>
      <w:pPr>
        <w:pStyle w:val="2"/>
        <w:keepNext/>
        <w:keepLines/>
        <w:numPr>
          <w:ilvl w:val="0"/>
          <w:numId w:val="1"/>
        </w:numPr>
        <w:autoSpaceDE/>
        <w:autoSpaceDN/>
        <w:bidi w:val="0"/>
        <w:spacing w:before="30" w:beforeLines="0" w:beforeAutospacing="0" w:after="50" w:afterLines="0" w:afterAutospacing="0" w:line="360" w:lineRule="auto"/>
        <w:ind w:left="0" w:leftChars="0" w:firstLine="0" w:firstLineChars="0"/>
        <w:jc w:val="both"/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/>
        </w:rPr>
      </w:pPr>
      <w:bookmarkStart w:id="2" w:name="2.功能图解"/>
      <w:bookmarkEnd w:id="2"/>
      <w:bookmarkStart w:id="3" w:name="2.功能图解"/>
      <w:bookmarkEnd w:id="3"/>
      <w:r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/>
        </w:rPr>
        <w:t>Operation Overview</w:t>
      </w:r>
    </w:p>
    <w:p>
      <w:pPr>
        <w:pStyle w:val="4"/>
        <w:spacing w:before="12"/>
        <w:jc w:val="center"/>
        <w:rPr>
          <w:rFonts w:hint="eastAsia" w:eastAsia="宋体"/>
          <w:b/>
          <w:sz w:val="22"/>
          <w:lang w:eastAsia="zh-CN"/>
        </w:rPr>
      </w:pPr>
      <w:r>
        <w:drawing>
          <wp:inline distT="0" distB="0" distL="114300" distR="114300">
            <wp:extent cx="3893820" cy="4186555"/>
            <wp:effectExtent l="0" t="0" r="1143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0" distR="0">
            <wp:extent cx="2878455" cy="2766060"/>
            <wp:effectExtent l="0" t="0" r="17145" b="1524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helvetica" w:hAnsi="helvetica" w:eastAsia="Nunito" w:cs="helvetica"/>
          <w:b/>
          <w:bCs/>
          <w:color w:val="000000" w:themeColor="text1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Nunito" w:cs="helvetica"/>
          <w:b/>
          <w:bCs/>
          <w:color w:val="000000" w:themeColor="text1"/>
          <w:kern w:val="0"/>
          <w:sz w:val="24"/>
          <w:szCs w:val="24"/>
          <w:lang w:val="en-US" w:eastAsia="zh-CN" w:bidi="ar"/>
        </w:rPr>
        <w:t>IIC Connectors Specification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spacing w:after="0"/>
        <w:rPr>
          <w:sz w:val="22"/>
        </w:rPr>
      </w:pPr>
    </w:p>
    <w:p>
      <w:pPr>
        <w:spacing w:after="0"/>
        <w:jc w:val="center"/>
        <w:rPr>
          <w:sz w:val="22"/>
        </w:rPr>
        <w:sectPr>
          <w:pgSz w:w="11910" w:h="16840"/>
          <w:pgMar w:top="1640" w:right="1580" w:bottom="1400" w:left="1580" w:header="1044" w:footer="1209" w:gutter="0"/>
          <w:cols w:space="720" w:num="1"/>
        </w:sectPr>
      </w:pPr>
    </w:p>
    <w:p>
      <w:pPr>
        <w:pStyle w:val="4"/>
        <w:spacing w:before="3"/>
        <w:rPr>
          <w:b/>
          <w:sz w:val="15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840" w:type="dxa"/>
          </w:tcPr>
          <w:p>
            <w:pPr>
              <w:pStyle w:val="9"/>
              <w:spacing w:before="12"/>
              <w:rPr>
                <w:rFonts w:hint="default" w:ascii="helvetica" w:hAnsi="helvetica" w:cs="helvetica"/>
                <w:b/>
                <w:color w:val="000000" w:themeColor="text1"/>
                <w:sz w:val="19"/>
              </w:rPr>
            </w:pPr>
          </w:p>
          <w:p>
            <w:pPr>
              <w:pStyle w:val="9"/>
              <w:ind w:left="1188" w:right="1182"/>
              <w:jc w:val="center"/>
              <w:rPr>
                <w:rFonts w:hint="default" w:ascii="helvetica" w:hAnsi="helvetica" w:eastAsia="宋体" w:cs="helvetica"/>
                <w:color w:val="000000" w:themeColor="text1"/>
                <w:sz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000000" w:themeColor="text1"/>
                <w:sz w:val="21"/>
                <w:lang w:val="en-US" w:eastAsia="zh-CN"/>
              </w:rPr>
              <w:t>S/N</w:t>
            </w:r>
          </w:p>
        </w:tc>
        <w:tc>
          <w:tcPr>
            <w:tcW w:w="2841" w:type="dxa"/>
          </w:tcPr>
          <w:p>
            <w:pPr>
              <w:pStyle w:val="9"/>
              <w:spacing w:before="12"/>
              <w:rPr>
                <w:rFonts w:hint="default" w:ascii="helvetica" w:hAnsi="helvetica" w:cs="helvetica"/>
                <w:b/>
                <w:color w:val="000000" w:themeColor="text1"/>
                <w:sz w:val="19"/>
              </w:rPr>
            </w:pPr>
          </w:p>
          <w:p>
            <w:pPr>
              <w:pStyle w:val="9"/>
              <w:ind w:left="820" w:right="817"/>
              <w:jc w:val="center"/>
              <w:rPr>
                <w:rFonts w:hint="default" w:ascii="helvetica" w:hAnsi="helvetica" w:eastAsia="宋体" w:cs="helvetica"/>
                <w:color w:val="000000" w:themeColor="text1"/>
                <w:sz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000000" w:themeColor="text1"/>
                <w:sz w:val="21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pStyle w:val="9"/>
              <w:spacing w:before="12"/>
              <w:rPr>
                <w:rFonts w:hint="default" w:ascii="helvetica" w:hAnsi="helvetica" w:cs="helvetica"/>
                <w:b/>
                <w:color w:val="000000" w:themeColor="text1"/>
                <w:sz w:val="19"/>
              </w:rPr>
            </w:pPr>
          </w:p>
          <w:p>
            <w:pPr>
              <w:pStyle w:val="9"/>
              <w:ind w:left="822" w:right="817"/>
              <w:jc w:val="center"/>
              <w:rPr>
                <w:rFonts w:hint="default" w:ascii="helvetica" w:hAnsi="helvetica" w:eastAsia="宋体" w:cs="helvetica"/>
                <w:color w:val="000000" w:themeColor="text1"/>
                <w:sz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000000" w:themeColor="text1"/>
                <w:sz w:val="21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840" w:type="dxa"/>
          </w:tcPr>
          <w:p>
            <w:pPr>
              <w:pStyle w:val="9"/>
              <w:rPr>
                <w:rFonts w:hint="default" w:ascii="helvetica" w:hAnsi="helvetica" w:cs="helvetica"/>
                <w:b/>
                <w:color w:val="000000" w:themeColor="text1"/>
                <w:sz w:val="21"/>
              </w:rPr>
            </w:pPr>
          </w:p>
          <w:p>
            <w:pPr>
              <w:pStyle w:val="9"/>
              <w:ind w:left="10"/>
              <w:jc w:val="center"/>
              <w:rPr>
                <w:rFonts w:hint="default" w:ascii="helvetica" w:hAnsi="helvetica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cs="helvetica"/>
                <w:color w:val="000000" w:themeColor="text1"/>
                <w:w w:val="99"/>
                <w:sz w:val="21"/>
              </w:rPr>
              <w:t>1</w:t>
            </w:r>
          </w:p>
        </w:tc>
        <w:tc>
          <w:tcPr>
            <w:tcW w:w="2841" w:type="dxa"/>
          </w:tcPr>
          <w:p>
            <w:pPr>
              <w:pStyle w:val="9"/>
              <w:rPr>
                <w:rFonts w:hint="default" w:ascii="helvetica" w:hAnsi="helvetica" w:cs="helvetica"/>
                <w:b/>
                <w:color w:val="000000" w:themeColor="text1"/>
                <w:sz w:val="21"/>
              </w:rPr>
            </w:pPr>
          </w:p>
          <w:p>
            <w:pPr>
              <w:pStyle w:val="9"/>
              <w:ind w:left="824" w:right="815"/>
              <w:jc w:val="center"/>
              <w:rPr>
                <w:rFonts w:hint="default" w:ascii="helvetica" w:hAnsi="helvetica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cs="helvetica"/>
                <w:color w:val="000000" w:themeColor="text1"/>
                <w:sz w:val="21"/>
              </w:rPr>
              <w:t>SCL</w:t>
            </w:r>
          </w:p>
        </w:tc>
        <w:tc>
          <w:tcPr>
            <w:tcW w:w="2841" w:type="dxa"/>
          </w:tcPr>
          <w:p>
            <w:pPr>
              <w:pStyle w:val="9"/>
              <w:spacing w:before="11"/>
              <w:jc w:val="center"/>
              <w:rPr>
                <w:rFonts w:hint="default" w:ascii="helvetica" w:hAnsi="helvetica" w:cs="helvetica"/>
                <w:b/>
                <w:color w:val="000000" w:themeColor="text1"/>
                <w:sz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cs="helvetica"/>
                <w:color w:val="000000" w:themeColor="text1"/>
              </w:rPr>
            </w:pPr>
            <w:r>
              <w:rPr>
                <w:rFonts w:hint="default" w:ascii="helvetica" w:hAnsi="helvetica" w:eastAsia="Nunito" w:cs="helvetica"/>
                <w:color w:val="000000" w:themeColor="text1"/>
                <w:kern w:val="0"/>
                <w:sz w:val="20"/>
                <w:szCs w:val="20"/>
                <w:lang w:val="en-US" w:eastAsia="zh-CN" w:bidi="ar"/>
              </w:rPr>
              <w:t>IIC Serial Clock Pin</w:t>
            </w:r>
          </w:p>
          <w:p>
            <w:pPr>
              <w:pStyle w:val="9"/>
              <w:spacing w:before="1"/>
              <w:ind w:left="824" w:right="815"/>
              <w:jc w:val="center"/>
              <w:rPr>
                <w:rFonts w:hint="default" w:ascii="helvetica" w:hAnsi="helvetica" w:eastAsia="宋体" w:cs="helvetica"/>
                <w:color w:val="000000" w:themeColor="text1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840" w:type="dxa"/>
          </w:tcPr>
          <w:p>
            <w:pPr>
              <w:pStyle w:val="9"/>
              <w:spacing w:before="12"/>
              <w:rPr>
                <w:rFonts w:hint="default" w:ascii="helvetica" w:hAnsi="helvetica" w:cs="helvetica"/>
                <w:b/>
                <w:color w:val="000000" w:themeColor="text1"/>
                <w:sz w:val="20"/>
              </w:rPr>
            </w:pPr>
          </w:p>
          <w:p>
            <w:pPr>
              <w:pStyle w:val="9"/>
              <w:ind w:left="10"/>
              <w:jc w:val="center"/>
              <w:rPr>
                <w:rFonts w:hint="default" w:ascii="helvetica" w:hAnsi="helvetica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cs="helvetica"/>
                <w:color w:val="000000" w:themeColor="text1"/>
                <w:w w:val="99"/>
                <w:sz w:val="21"/>
              </w:rPr>
              <w:t>2</w:t>
            </w:r>
          </w:p>
        </w:tc>
        <w:tc>
          <w:tcPr>
            <w:tcW w:w="2841" w:type="dxa"/>
          </w:tcPr>
          <w:p>
            <w:pPr>
              <w:pStyle w:val="9"/>
              <w:spacing w:before="12"/>
              <w:rPr>
                <w:rFonts w:hint="default" w:ascii="helvetica" w:hAnsi="helvetica" w:cs="helvetica"/>
                <w:b/>
                <w:color w:val="000000" w:themeColor="text1"/>
                <w:sz w:val="20"/>
              </w:rPr>
            </w:pPr>
          </w:p>
          <w:p>
            <w:pPr>
              <w:pStyle w:val="9"/>
              <w:ind w:left="824" w:right="816"/>
              <w:jc w:val="center"/>
              <w:rPr>
                <w:rFonts w:hint="default" w:ascii="helvetica" w:hAnsi="helvetica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cs="helvetica"/>
                <w:color w:val="000000" w:themeColor="text1"/>
                <w:sz w:val="21"/>
              </w:rPr>
              <w:t>SDA</w:t>
            </w:r>
          </w:p>
        </w:tc>
        <w:tc>
          <w:tcPr>
            <w:tcW w:w="2841" w:type="dxa"/>
          </w:tcPr>
          <w:p>
            <w:pPr>
              <w:pStyle w:val="9"/>
              <w:spacing w:before="11"/>
              <w:jc w:val="center"/>
              <w:rPr>
                <w:rFonts w:hint="default" w:ascii="helvetica" w:hAnsi="helvetica" w:cs="helvetica"/>
                <w:b/>
                <w:color w:val="000000" w:themeColor="text1"/>
                <w:sz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eastAsia="Nunito" w:cs="helvetica"/>
                <w:color w:val="000000" w:themeColor="text1"/>
                <w:kern w:val="0"/>
                <w:sz w:val="20"/>
                <w:szCs w:val="20"/>
                <w:lang w:val="en-US" w:eastAsia="zh-CN" w:bidi="ar"/>
              </w:rPr>
              <w:t>IIC Serial Data Pin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840" w:type="dxa"/>
          </w:tcPr>
          <w:p>
            <w:pPr>
              <w:pStyle w:val="9"/>
              <w:spacing w:before="12"/>
              <w:rPr>
                <w:rFonts w:hint="default" w:ascii="helvetica" w:hAnsi="helvetica" w:cs="helvetica"/>
                <w:b/>
                <w:color w:val="000000" w:themeColor="text1"/>
                <w:sz w:val="20"/>
              </w:rPr>
            </w:pPr>
          </w:p>
          <w:p>
            <w:pPr>
              <w:pStyle w:val="9"/>
              <w:ind w:left="10"/>
              <w:jc w:val="center"/>
              <w:rPr>
                <w:rFonts w:hint="default" w:ascii="helvetica" w:hAnsi="helvetica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cs="helvetica"/>
                <w:color w:val="000000" w:themeColor="text1"/>
                <w:w w:val="99"/>
                <w:sz w:val="21"/>
              </w:rPr>
              <w:t>3</w:t>
            </w:r>
          </w:p>
        </w:tc>
        <w:tc>
          <w:tcPr>
            <w:tcW w:w="2841" w:type="dxa"/>
          </w:tcPr>
          <w:p>
            <w:pPr>
              <w:pStyle w:val="9"/>
              <w:spacing w:before="12"/>
              <w:rPr>
                <w:rFonts w:hint="default" w:ascii="helvetica" w:hAnsi="helvetica" w:cs="helvetica"/>
                <w:b/>
                <w:color w:val="000000" w:themeColor="text1"/>
                <w:sz w:val="20"/>
              </w:rPr>
            </w:pPr>
          </w:p>
          <w:p>
            <w:pPr>
              <w:pStyle w:val="9"/>
              <w:ind w:left="824" w:right="814"/>
              <w:jc w:val="center"/>
              <w:rPr>
                <w:rFonts w:hint="default" w:ascii="helvetica" w:hAnsi="helvetica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cs="helvetica"/>
                <w:color w:val="000000" w:themeColor="text1"/>
                <w:sz w:val="21"/>
              </w:rPr>
              <w:t>GND</w:t>
            </w:r>
          </w:p>
        </w:tc>
        <w:tc>
          <w:tcPr>
            <w:tcW w:w="2841" w:type="dxa"/>
          </w:tcPr>
          <w:p>
            <w:pPr>
              <w:pStyle w:val="9"/>
              <w:spacing w:before="11"/>
              <w:jc w:val="center"/>
              <w:rPr>
                <w:rFonts w:hint="default" w:ascii="helvetica" w:hAnsi="helvetica" w:cs="helvetica"/>
                <w:b/>
                <w:color w:val="000000" w:themeColor="text1"/>
                <w:sz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eastAsia="Nunito" w:cs="helvetica"/>
                <w:color w:val="000000" w:themeColor="text1"/>
                <w:kern w:val="0"/>
                <w:sz w:val="20"/>
                <w:szCs w:val="20"/>
                <w:lang w:val="en-US" w:eastAsia="zh-CN" w:bidi="ar"/>
              </w:rPr>
              <w:t>IIC Negative Pin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840" w:type="dxa"/>
          </w:tcPr>
          <w:p>
            <w:pPr>
              <w:pStyle w:val="9"/>
              <w:spacing w:before="11"/>
              <w:rPr>
                <w:rFonts w:hint="default" w:ascii="helvetica" w:hAnsi="helvetica" w:cs="helvetica"/>
                <w:b/>
                <w:color w:val="000000" w:themeColor="text1"/>
                <w:sz w:val="20"/>
              </w:rPr>
            </w:pPr>
          </w:p>
          <w:p>
            <w:pPr>
              <w:pStyle w:val="9"/>
              <w:spacing w:before="1"/>
              <w:ind w:left="10"/>
              <w:jc w:val="center"/>
              <w:rPr>
                <w:rFonts w:hint="default" w:ascii="helvetica" w:hAnsi="helvetica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cs="helvetica"/>
                <w:color w:val="000000" w:themeColor="text1"/>
                <w:w w:val="99"/>
                <w:sz w:val="21"/>
              </w:rPr>
              <w:t>4</w:t>
            </w:r>
          </w:p>
        </w:tc>
        <w:tc>
          <w:tcPr>
            <w:tcW w:w="2841" w:type="dxa"/>
          </w:tcPr>
          <w:p>
            <w:pPr>
              <w:pStyle w:val="9"/>
              <w:spacing w:before="11"/>
              <w:rPr>
                <w:rFonts w:hint="default" w:ascii="helvetica" w:hAnsi="helvetica" w:cs="helvetica"/>
                <w:b/>
                <w:color w:val="000000" w:themeColor="text1"/>
                <w:sz w:val="20"/>
              </w:rPr>
            </w:pPr>
          </w:p>
          <w:p>
            <w:pPr>
              <w:pStyle w:val="9"/>
              <w:spacing w:before="1"/>
              <w:ind w:left="824" w:right="814"/>
              <w:jc w:val="center"/>
              <w:rPr>
                <w:rFonts w:hint="default" w:ascii="helvetica" w:hAnsi="helvetica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cs="helvetica"/>
                <w:color w:val="000000" w:themeColor="text1"/>
                <w:sz w:val="21"/>
              </w:rPr>
              <w:t>5V</w:t>
            </w:r>
          </w:p>
        </w:tc>
        <w:tc>
          <w:tcPr>
            <w:tcW w:w="2841" w:type="dxa"/>
          </w:tcPr>
          <w:p>
            <w:pPr>
              <w:pStyle w:val="9"/>
              <w:spacing w:before="10"/>
              <w:jc w:val="center"/>
              <w:rPr>
                <w:rFonts w:hint="default" w:ascii="helvetica" w:hAnsi="helvetica" w:cs="helvetica"/>
                <w:b/>
                <w:color w:val="000000" w:themeColor="text1"/>
                <w:sz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 w:themeColor="text1"/>
                <w:sz w:val="21"/>
              </w:rPr>
            </w:pPr>
            <w:r>
              <w:rPr>
                <w:rFonts w:hint="default" w:ascii="helvetica" w:hAnsi="helvetica" w:eastAsia="Nunito" w:cs="helvetica"/>
                <w:color w:val="000000" w:themeColor="text1"/>
                <w:kern w:val="0"/>
                <w:sz w:val="20"/>
                <w:szCs w:val="20"/>
                <w:lang w:val="en-US" w:eastAsia="zh-CN" w:bidi="ar"/>
              </w:rPr>
              <w:t>5V Positive Pin</w:t>
            </w:r>
          </w:p>
        </w:tc>
      </w:tr>
    </w:tbl>
    <w:p>
      <w:pPr>
        <w:pStyle w:val="4"/>
        <w:spacing w:before="3"/>
        <w:rPr>
          <w:b/>
          <w:sz w:val="25"/>
        </w:rPr>
      </w:pPr>
    </w:p>
    <w:p>
      <w:pPr>
        <w:pStyle w:val="2"/>
        <w:keepNext/>
        <w:keepLines/>
        <w:numPr>
          <w:ilvl w:val="0"/>
          <w:numId w:val="1"/>
        </w:numPr>
        <w:autoSpaceDE/>
        <w:autoSpaceDN/>
        <w:bidi w:val="0"/>
        <w:spacing w:before="30" w:beforeLines="0" w:beforeAutospacing="0" w:after="50" w:afterLines="0" w:afterAutospacing="0" w:line="360" w:lineRule="auto"/>
        <w:ind w:left="0" w:leftChars="0" w:firstLine="0" w:firstLineChars="0"/>
        <w:jc w:val="both"/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/>
        </w:rPr>
      </w:pPr>
      <w:bookmarkStart w:id="4" w:name="3.产品使用及学习向导"/>
      <w:bookmarkEnd w:id="4"/>
      <w:bookmarkStart w:id="5" w:name="3.产品使用及学习向导"/>
      <w:bookmarkEnd w:id="5"/>
      <w:r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/>
        </w:rPr>
        <w:t xml:space="preserve">User Learning Guideline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  <w:t>Step 1: Understanding WonderCam module and operating familiarization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  <w:t>Start with "Lesson 1 Introducing WonderCam" follow by "Lesson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  <w:t xml:space="preserve">Getting Started".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240" w:lineRule="auto"/>
        <w:ind w:left="0" w:leftChars="0" w:right="0" w:firstLine="0" w:firstLineChars="0"/>
        <w:jc w:val="both"/>
        <w:textAlignment w:val="auto"/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  <w:t>Step 2: Step by Step guide to AI Visual Module features and functions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  <w:t xml:space="preserve">The 8 lessons are: Color </w:t>
      </w: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  <w:t xml:space="preserve">Recognition, Facial Recognition, AprilTag Recognition, Visual Line Following, Numeric Recognition, Road Sign Recognition, Image Classification and Feature Learning.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240" w:lineRule="auto"/>
        <w:ind w:left="0" w:leftChars="0" w:right="0" w:firstLine="0" w:firstLineChars="0"/>
        <w:jc w:val="both"/>
        <w:textAlignment w:val="auto"/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  <w:t xml:space="preserve">Step 3: Learn as needed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right="0" w:firstLine="0" w:firstLineChars="0"/>
        <w:jc w:val="both"/>
        <w:textAlignment w:val="auto"/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kern w:val="2"/>
          <w:sz w:val="24"/>
          <w:szCs w:val="24"/>
          <w:lang w:val="en-US" w:eastAsia="zh-CN"/>
        </w:rPr>
        <w:t xml:space="preserve">Upon experiencing all the features and functions, learner can further explore programming each </w:t>
      </w: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/>
        </w:rPr>
        <w:t xml:space="preserve">features with the guideline provided for different platform. </w:t>
      </w:r>
    </w:p>
    <w:p>
      <w:pPr>
        <w:pStyle w:val="8"/>
        <w:numPr>
          <w:ilvl w:val="0"/>
          <w:numId w:val="0"/>
        </w:numPr>
        <w:tabs>
          <w:tab w:val="left" w:pos="462"/>
        </w:tabs>
        <w:spacing w:before="1" w:after="0" w:line="240" w:lineRule="auto"/>
        <w:ind w:left="219" w:leftChars="0" w:right="0" w:rightChars="0"/>
        <w:jc w:val="left"/>
        <w:rPr>
          <w:b/>
          <w:sz w:val="32"/>
        </w:rPr>
      </w:pPr>
    </w:p>
    <w:sectPr>
      <w:pgSz w:w="11910" w:h="16840"/>
      <w:pgMar w:top="1640" w:right="1580" w:bottom="1400" w:left="1580" w:header="1044" w:footer="12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293.4pt;margin-top:770.4pt;height:12pt;width:8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325755</wp:posOffset>
          </wp:positionH>
          <wp:positionV relativeFrom="paragraph">
            <wp:posOffset>-69215</wp:posOffset>
          </wp:positionV>
          <wp:extent cx="5003800" cy="377825"/>
          <wp:effectExtent l="0" t="0" r="6350" b="3175"/>
          <wp:wrapSquare wrapText="bothSides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0380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6FC926"/>
    <w:multiLevelType w:val="singleLevel"/>
    <w:tmpl w:val="D56FC9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C1B6637"/>
    <w:rsid w:val="1D042C0C"/>
    <w:rsid w:val="346E0EA2"/>
    <w:rsid w:val="3B5F05FD"/>
    <w:rsid w:val="4D23688F"/>
    <w:rsid w:val="62AF7991"/>
    <w:rsid w:val="67AD623A"/>
    <w:rsid w:val="795144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461" w:hanging="242"/>
      <w:outlineLvl w:val="1"/>
    </w:pPr>
    <w:rPr>
      <w:rFonts w:ascii="黑体" w:hAnsi="黑体" w:eastAsia="黑体" w:cs="黑体"/>
      <w:b/>
      <w:bCs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640"/>
      <w:outlineLvl w:val="2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461" w:hanging="242"/>
    </w:pPr>
    <w:rPr>
      <w:rFonts w:ascii="黑体" w:hAnsi="黑体" w:eastAsia="黑体" w:cs="黑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2021-04-28T11:08:00Z</dcterms:created>
  <dc:creator>简单三叶草</dc:creator>
  <cp:lastModifiedBy>TT</cp:lastModifiedBy>
  <dcterms:modified xsi:type="dcterms:W3CDTF">2021-06-15T11:23:17Z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2021-04-28T00:00:00Z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F9AC581C7C2E4EC2B6C308088518D9C7</vt:lpwstr>
  </property>
</Properties>
</file>