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0B2545"/>
          <w:sz w:val="40"/>
        </w:rPr>
        <w:t>我方作战力量智能编组测试报告</w:t>
      </w:r>
    </w:p>
    <w:p>
      <w:r>
        <w:rPr>
          <w:color w:val="555555"/>
        </w:rPr>
        <w:t>用途：force-grouping 算法真实大模型抽取与离线回归测试</w:t>
      </w:r>
    </w:p>
    <w:p>
      <w:pPr>
        <w:pStyle w:val="Heading1"/>
      </w:pPr>
      <w:r>
        <w:t>一、任务背景</w:t>
      </w:r>
    </w:p>
    <w:p>
      <w:r>
        <w:t>本样例描述蓝方火力、突击、侦察、防空、保障、机动、指挥通信和工兵支援等单位。算法应从文档中抽取兵力池，结合第一阶段敌情威胁输出生成多套智能编组方案，并推荐一个最优方案。</w:t>
      </w:r>
    </w:p>
    <w:p>
      <w:pPr>
        <w:pStyle w:val="Heading1"/>
      </w:pPr>
      <w:r>
        <w:t>二、主要兵力清单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200"/>
        <w:gridCol w:w="1500"/>
        <w:gridCol w:w="900"/>
        <w:gridCol w:w="3400"/>
        <w:gridCol w:w="1360"/>
      </w:tblGrid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兵力</w:t>
            </w:r>
          </w:p>
        </w:tc>
        <w:tc>
          <w:tcPr>
            <w:tcW w:type="dxa" w:w="3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关键能力</w:t>
            </w:r>
          </w:p>
        </w:tc>
        <w:tc>
          <w:tcPr>
            <w:tcW w:type="dxa" w:w="1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蓝方远程火力分队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支援火力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82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火力88，防护58，机动52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可用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蓝方突击分队一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主攻突击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76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火力78，防护66，机动70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可用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蓝方侦察引导组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侦察引导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34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侦察86，通信82，机动78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可用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蓝方防空掩护组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防空掩护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42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防护82，通信70，火力62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可用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蓝方综合保障分队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保障补给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68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保障88，机动58，通信62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可用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蓝方机动运输分队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机动投送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60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机动86，保障74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可用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蓝方指挥通信组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指挥通信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24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通信90，侦察64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可用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蓝方工兵支援组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工程保障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38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保障78，防护64，机动60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部分可用</w:t>
            </w:r>
          </w:p>
        </w:tc>
      </w:tr>
    </w:tbl>
    <w:p>
      <w:pPr>
        <w:pStyle w:val="Heading1"/>
      </w:pPr>
      <w:r>
        <w:t>三、编组约束与建议</w:t>
      </w:r>
    </w:p>
    <w:p>
      <w:pPr>
        <w:pStyle w:val="ListBullet"/>
      </w:pPr>
      <w:r>
        <w:t>远程火力分队应优先进入主攻或支援压制功能群，避免与保障核心完全脱节。</w:t>
      </w:r>
    </w:p>
    <w:p>
      <w:pPr>
        <w:pStyle w:val="ListBullet"/>
      </w:pPr>
      <w:r>
        <w:t>侦察引导组与指挥通信组应保持信息链路协同，可同组或建立相邻支援关系。</w:t>
      </w:r>
    </w:p>
    <w:p>
      <w:pPr>
        <w:pStyle w:val="ListBullet"/>
      </w:pPr>
      <w:r>
        <w:t>高威胁敌情下，防空掩护组和工兵支援组应优先补强防护与生存能力。</w:t>
      </w:r>
    </w:p>
    <w:p>
      <w:pPr>
        <w:pStyle w:val="ListBullet"/>
      </w:pPr>
      <w:r>
        <w:t>综合保障分队与机动运输分队可形成保障机动群，也可拆分增强预备保障方案。</w:t>
      </w:r>
    </w:p>
    <w:p>
      <w:pPr>
        <w:pStyle w:val="Heading1"/>
      </w:pPr>
      <w:r>
        <w:t>四、期望输出</w:t>
      </w:r>
    </w:p>
    <w:p>
      <w:r>
        <w:t>算法应输出多套候选方案，并在 schemes、comparison、preferredSchemeId、preferredScheme、systemBestSchemeId 和 explanation 中给出可解释结果。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