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b/>
          <w:bCs/>
          <w:color w:val="1F5C99"/>
          <w:sz w:val="60"/>
          <w:szCs w:val="60"/>
        </w:rPr>
        <w:t xml:space="preserve">solse_pe_accountant</w:t>
      </w:r>
    </w:p>
    <w:p>
      <w:pPr>
        <w:spacing w:before="0" w:after="60"/>
        <w:jc w:val="center"/>
      </w:pPr>
      <w:r>
        <w:rPr>
          <w:color w:val="555555"/>
          <w:sz w:val="32"/>
          <w:szCs w:val="32"/>
        </w:rPr>
        <w:t xml:space="preserve">Contabilidad Peruana — Módulo de Localización</w:t>
      </w:r>
    </w:p>
    <w:p>
      <w:pPr>
        <w:spacing w:before="0" w:after="0"/>
        <w:jc w:val="center"/>
      </w:pPr>
      <w:r>
        <w:rPr>
          <w:i/>
          <w:iCs/>
          <w:color w:val="777777"/>
          <w:sz w:val="26"/>
          <w:szCs w:val="26"/>
        </w:rPr>
        <w:t xml:space="preserve">Ficha Funcional</w:t>
      </w:r>
    </w:p>
    <w:p>
      <w:pPr>
        <w:spacing w:before="80" w:after="300"/>
        <w:jc w:val="center"/>
      </w:pPr>
      <w:r>
        <w:rPr>
          <w:color w:val="888888"/>
          <w:sz w:val="20"/>
          <w:szCs w:val="20"/>
        </w:rPr>
        <w:t xml:space="preserve">Versión 19.0.0.1  |  Odoo 19 Community  |  F&amp;M Solutions Service S.A.C</w:t>
      </w:r>
    </w:p>
    <w:p>
      <w:pPr>
        <w:pBdr>
          <w:bottom w:val="single" w:color="1F5C99" w:sz="6" w:space="1"/>
        </w:pBdr>
        <w:spacing w:before="0" w:after="40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Descripción general</w:t>
      </w:r>
    </w:p>
    <w:p>
      <w:pPr>
        <w:spacing w:before="60" w:after="60"/>
      </w:pPr>
      <w:r>
        <w:rPr>
          <w:sz w:val="22"/>
          <w:szCs w:val="22"/>
        </w:rPr>
        <w:t xml:space="preserve">solse_pe_accountant es el módulo base de contabilidad para la localización peruana de Odoo 19. Complementa los módulos de facturación electrónica (solse_pe_edi, solse_pe_cpe) agregando la lógica contable específica exigida por SUNAT: generación de asientos para detracciones y retenciones IGV, manejo correcto de fechas para tipo de cambio, glosa contable y gestión de asientos de apertura.</w:t>
      </w:r>
    </w:p>
    <w:p>
      <w:pPr>
        <w:spacing w:before="60" w:after="60"/>
      </w:pPr>
    </w:p>
    <w:p>
      <w:pPr>
        <w:spacing w:before="60" w:after="60"/>
      </w:pPr>
      <w:r>
        <w:rPr>
          <w:sz w:val="22"/>
          <w:szCs w:val="22"/>
        </w:rPr>
        <w:t xml:space="preserve">El módulo está diseñado para operar de forma transparente: extiende los modelos nativos de Odoo sin romper la compatibilidad con los flujos estándar de facturación y pagos.</w:t>
      </w:r>
    </w:p>
    <w:p>
      <w:pPr>
        <w:spacing w:before="200" w:after="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Funcionalidad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Detracciones (SPOT)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Genera automáticamente la línea contable de detracción en el asiento de la factura, separando el monto en su propia cuenta configurable. Aplica para facturas de venta y compra.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Retenciones IGV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Genera la línea de retención (3% IGV) como split del asiento, con cuentas independientes para ventas (activo) y compras (pasivo). Compatible con el flujo de pago del wizard.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Autodetracción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Permite registrar el pago de la detracción de forma automática desde el mismo wizard de pago, generando los asientos intermedios necesarios.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Tipo de cambio SUNAT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Aplica la fecha correcta para el tipo de cambio según la naturaleza del comprobante: fecha de factura en compras, fecha contable en ventas. Las notas de crédito usan la fecha de la factura original.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 vencimiento detracción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Configura el día N del mes siguiente como fecha de vencimiento de la detracción, según la normativa SUNAT (máx. día 5). Capea correctamente meses cortos como febrero.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Glosa contable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Propaga automáticamente la glosa (descripción libre) desde el pago hacia el asiento contable y hacia las líneas de movimiento, facilitando la trazabilidad en el libro diario.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Asiento de apertura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Permite marcar un asiento como «por apertura», utilizando la fecha de apertura en lugar de la fecha contable estándar de Odoo.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Número de operación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Campo adicional en pagos y asientos para registrar el número de operación bancaria, visible en el extracto y en el comprobante de pago.</w:t>
            </w:r>
          </w:p>
        </w:tc>
      </w:tr>
    </w:tbl>
    <w:p>
      <w:pPr>
        <w:spacing w:before="200" w:after="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Identificación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Nombre técnico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solse_pe_accountant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Versión Odoo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19.0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Categoría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Financial / Localización Perú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F&amp;M Solutions Service S.A.C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Licencia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Propietario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Dependencias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account, solse_pe_rate_api, solse_pe_edi, solse_pe_cpe</w:t>
            </w:r>
          </w:p>
        </w:tc>
      </w:tr>
    </w:tbl>
    <w:p>
      <w:pPr>
        <w:spacing w:before="200" w:after="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Modelos y campos afectados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Campos agregados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Métodos sobreescritos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account.move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glosa, pago_detraccion, pago_retencion, fecha_vencimiento_detraccion, es_x_apertura, tipo_cambio_dolar_sistema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_compute_needed_terms, _compute_date, _compute_payments_widget_to_reconcile_info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account.move.line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glosa, transaction_number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_compute_term_key, _compute_account_id, _prevent_automatic_line_deletion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account.payment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glosa, transaction_number, es_x_autodetraccion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_compute_glosa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account.payment.register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tipo, es_detraccion_retencion, communication, transaction_number, mostrar_check, autodetraccion, monto_autodetraccion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_compute_from_lines, _compute_amount, _create_payments, _create_payment_vals_from_wizard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res.company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cuenta_detracciones, cuenta_detracciones_compra, cuenta_retenciones, cuenta_retenciones_venta, cuenta_detrac_ganancias/perdidas, usar_fecha_vencimiento_detraccion, dia_vencimiento_detraccion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 w:after="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Normativa de referencia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Decreto Legislativo N.° 940 y modificatorias — Sistema de Pago de Obligaciones Tributarias (SPOT / Detracciones)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Resolución de Superintendencia N.° 037-2002/SUNAT — Régimen de Retenciones del IGV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Resolución de Superintendencia N.° 008-2004/SUNAT — Tipo de cambio aplicable para obligaciones en moneda extranjera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NIC 21 — Efectos de las variaciones en los tipos de cambio de la moneda extranjera</w:t>
      </w:r>
    </w:p>
    <w:p>
      <w:pPr>
        <w:spacing w:before="200" w:after="0"/>
      </w:pPr>
    </w:p>
    <w:p>
      <w:pPr>
        <w:pStyle w:val="Heading1"/>
        <w:spacing w:before="280" w:after="120"/>
      </w:pPr>
      <w:r>
        <w:rPr>
          <w:b/>
          <w:bCs/>
          <w:color w:val="1F5C99"/>
          <w:sz w:val="28"/>
          <w:szCs w:val="28"/>
        </w:rPr>
        <w:t xml:space="preserve">Módulos relacionados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solse_pe_rate_api — Descarga automática del tipo de cambio publicado por SUNAT/BCRP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solse_pe_edi — Facturación electrónica (estructura XML UBL 2.1)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solse_pe_cpe — Gestión de comprobantes electrónicos (envío a SUNAT, estado CPE)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solse_pe_ple — Libros electrónicos PLE (consume los campos de glosa y tipo de cambio de este módulo)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color w:val="888888"/>
        <w:sz w:val="18"/>
        <w:szCs w:val="18"/>
      </w:rPr>
      <w:t xml:space="preserve">F&amp;M Solutions Service S.A.C  |  Perú  |  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tabs>
        <w:tab w:val="right" w:pos="9026"/>
      </w:tabs>
      <w:spacing w:after="80"/>
    </w:pPr>
    <w:r>
      <w:rPr>
        <w:b/>
        <w:bCs/>
        <w:color w:val="1F5C99"/>
        <w:sz w:val="18"/>
        <w:szCs w:val="18"/>
      </w:rPr>
      <w:t xml:space="preserve">solse_pe_accountant</w:t>
    </w:r>
    <w:r>
      <w:rPr>
        <w:color w:val="888888"/>
        <w:sz w:val="18"/>
        <w:szCs w:val="18"/>
      </w:rPr>
      <w:t xml:space="preserve">	Ficha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2026-03-07T17:22:28.653Z</dcterms:created>
  <dcterms:modified xsi:type="dcterms:W3CDTF">2026-03-07T17:22:28.669Z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