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100"/>
        <w:jc w:val="center"/>
      </w:pPr>
      <w:r>
        <w:rPr>
          <w:b/>
          <w:bCs/>
          <w:color w:val="1F5C99"/>
          <w:sz w:val="60"/>
          <w:szCs w:val="60"/>
        </w:rPr>
        <w:t xml:space="preserve">Manual de Configuración y Uso</w:t>
      </w:r>
    </w:p>
    <w:p>
      <w:pPr>
        <w:spacing w:before="0" w:after="60"/>
        <w:jc w:val="center"/>
      </w:pPr>
      <w:r>
        <w:rPr>
          <w:b/>
          <w:bCs/>
          <w:color w:val="2E75B6"/>
          <w:sz w:val="40"/>
          <w:szCs w:val="40"/>
        </w:rPr>
        <w:t xml:space="preserve">solse_pe_accountant</w:t>
      </w:r>
    </w:p>
    <w:p>
      <w:pPr>
        <w:spacing w:before="0" w:after="40"/>
        <w:jc w:val="center"/>
      </w:pPr>
      <w:r>
        <w:rPr>
          <w:i/>
          <w:iCs/>
          <w:color w:val="555555"/>
          <w:sz w:val="26"/>
          <w:szCs w:val="26"/>
        </w:rPr>
        <w:t xml:space="preserve">Módulo de Contabilidad — Localización Peruana</w:t>
      </w:r>
    </w:p>
    <w:p>
      <w:pPr>
        <w:pBdr>
          <w:bottom w:val="single" w:color="1F5C99" w:sz="6" w:space="1"/>
        </w:pBdr>
        <w:spacing w:before="60" w:after="200"/>
        <w:jc w:val="center"/>
      </w:pPr>
      <w:r>
        <w:rPr>
          <w:color w:val="888888"/>
          <w:sz w:val="20"/>
          <w:szCs w:val="20"/>
        </w:rPr>
        <w:t xml:space="preserve">Versión 19.0.0.1  |  Odoo 19 Community  |  F&amp;M Solutions Service S.A.C</w:t>
      </w:r>
    </w:p>
    <w:p>
      <w:pPr>
        <w:spacing w:before="0" w:after="320"/>
      </w:pPr>
    </w:p>
    <w:p>
      <w:r>
        <w:br w:type="page"/>
      </w:r>
    </w:p>
    <w:p>
      <w:pPr>
        <w:pStyle w:val="Heading1"/>
        <w:spacing w:before="320" w:after="120"/>
      </w:pPr>
      <w:r>
        <w:rPr>
          <w:b/>
          <w:bCs/>
          <w:color w:val="1F5C99"/>
          <w:sz w:val="30"/>
          <w:szCs w:val="30"/>
        </w:rPr>
        <w:t xml:space="preserve">1. Contexto normativo</w:t>
      </w:r>
    </w:p>
    <w:p>
      <w:pPr>
        <w:spacing w:before="60" w:after="80"/>
      </w:pPr>
      <w:r>
        <w:rPr>
          <w:sz w:val="22"/>
          <w:szCs w:val="22"/>
        </w:rPr>
        <w:t xml:space="preserve">La localización contable peruana impone tres obligaciones que Odoo estándar no cubre:</w:t>
      </w:r>
    </w:p>
    <w:p>
      <w:pPr>
        <w:pStyle w:val="ListParagraph"/>
        <w:numPr>
          <w:ilvl w:val="0"/>
          <w:numId w:val="2"/>
        </w:numPr>
        <w:spacing w:before="40" w:after="40"/>
      </w:pPr>
      <w:r>
        <w:rPr>
          <w:sz w:val="22"/>
          <w:szCs w:val="22"/>
        </w:rPr>
        <w:t xml:space="preserve">Sistema SPOT (Detracciones)</w:t>
      </w:r>
    </w:p>
    <w:p>
      <w:pPr>
        <w:pStyle w:val="ListParagraph"/>
        <w:numPr>
          <w:ilvl w:val="1"/>
          <w:numId w:val="2"/>
        </w:numPr>
        <w:spacing w:before="30" w:after="30"/>
      </w:pPr>
      <w:r>
        <w:rPr>
          <w:sz w:val="21"/>
          <w:szCs w:val="21"/>
        </w:rPr>
        <w:t xml:space="preserve">Obligación del comprador de depositar un porcentaje del precio en la cuenta del vendedor en el Banco de la Nación antes de pagar el saldo.</w:t>
      </w:r>
    </w:p>
    <w:p>
      <w:pPr>
        <w:pStyle w:val="ListParagraph"/>
        <w:numPr>
          <w:ilvl w:val="1"/>
          <w:numId w:val="2"/>
        </w:numPr>
        <w:spacing w:before="30" w:after="30"/>
      </w:pPr>
      <w:r>
        <w:rPr>
          <w:sz w:val="21"/>
          <w:szCs w:val="21"/>
        </w:rPr>
        <w:t xml:space="preserve">El asiento de factura debe reflejar esta división: línea de detracción + línea de neto a pagar.</w:t>
      </w:r>
    </w:p>
    <w:p>
      <w:pPr>
        <w:pStyle w:val="ListParagraph"/>
        <w:numPr>
          <w:ilvl w:val="0"/>
          <w:numId w:val="2"/>
        </w:numPr>
        <w:spacing w:before="40" w:after="40"/>
      </w:pPr>
      <w:r>
        <w:rPr>
          <w:sz w:val="22"/>
          <w:szCs w:val="22"/>
        </w:rPr>
        <w:t xml:space="preserve">Régimen de Retenciones IGV</w:t>
      </w:r>
    </w:p>
    <w:p>
      <w:pPr>
        <w:pStyle w:val="ListParagraph"/>
        <w:numPr>
          <w:ilvl w:val="1"/>
          <w:numId w:val="2"/>
        </w:numPr>
        <w:spacing w:before="30" w:after="30"/>
      </w:pPr>
      <w:r>
        <w:rPr>
          <w:sz w:val="21"/>
          <w:szCs w:val="21"/>
        </w:rPr>
        <w:t xml:space="preserve">El agente de retención (designado por SUNAT) retiene el 3% del IGV al momento de pagar al proveedor.</w:t>
      </w:r>
    </w:p>
    <w:p>
      <w:pPr>
        <w:pStyle w:val="ListParagraph"/>
        <w:numPr>
          <w:ilvl w:val="1"/>
          <w:numId w:val="2"/>
        </w:numPr>
        <w:spacing w:before="30" w:after="30"/>
      </w:pPr>
      <w:r>
        <w:rPr>
          <w:sz w:val="21"/>
          <w:szCs w:val="21"/>
        </w:rPr>
        <w:t xml:space="preserve">El asiento de factura incluye una línea por el importe retenido con su cuenta específica.</w:t>
      </w:r>
    </w:p>
    <w:p>
      <w:pPr>
        <w:pStyle w:val="ListParagraph"/>
        <w:numPr>
          <w:ilvl w:val="0"/>
          <w:numId w:val="2"/>
        </w:numPr>
        <w:spacing w:before="40" w:after="40"/>
      </w:pPr>
      <w:r>
        <w:rPr>
          <w:sz w:val="22"/>
          <w:szCs w:val="22"/>
        </w:rPr>
        <w:t xml:space="preserve">Tipo de cambio</w:t>
      </w:r>
    </w:p>
    <w:p>
      <w:pPr>
        <w:pStyle w:val="ListParagraph"/>
        <w:numPr>
          <w:ilvl w:val="1"/>
          <w:numId w:val="2"/>
        </w:numPr>
        <w:spacing w:before="30" w:after="30"/>
      </w:pPr>
      <w:r>
        <w:rPr>
          <w:sz w:val="21"/>
          <w:szCs w:val="21"/>
        </w:rPr>
        <w:t xml:space="preserve">Facturas de compra: usar el tipo de cambio de la fecha de la factura del proveedor.</w:t>
      </w:r>
    </w:p>
    <w:p>
      <w:pPr>
        <w:pStyle w:val="ListParagraph"/>
        <w:numPr>
          <w:ilvl w:val="1"/>
          <w:numId w:val="2"/>
        </w:numPr>
        <w:spacing w:before="30" w:after="30"/>
      </w:pPr>
      <w:r>
        <w:rPr>
          <w:sz w:val="21"/>
          <w:szCs w:val="21"/>
        </w:rPr>
        <w:t xml:space="preserve">Notas de crédito: usar el tipo de cambio de la fecha de la factura original, no de la nota de crédito.</w:t>
      </w:r>
    </w:p>
    <w:p>
      <w:pPr>
        <w:pStyle w:val="ListParagraph"/>
        <w:numPr>
          <w:ilvl w:val="1"/>
          <w:numId w:val="2"/>
        </w:numPr>
        <w:spacing w:before="30" w:after="30"/>
      </w:pPr>
      <w:r>
        <w:rPr>
          <w:sz w:val="21"/>
          <w:szCs w:val="21"/>
        </w:rPr>
        <w:t xml:space="preserve">Odoo nativo usa siempre la fecha contable del documento, lo que genera diferencias incorrectas.</w:t>
      </w:r>
    </w:p>
    <w:p>
      <w:pPr>
        <w:spacing w:before="0" w:after="80"/>
      </w:pPr>
    </w:p>
    <w:p>
      <w:r>
        <w:br w:type="page"/>
      </w:r>
    </w:p>
    <w:p>
      <w:pPr>
        <w:pStyle w:val="Heading1"/>
        <w:spacing w:before="320" w:after="120"/>
      </w:pPr>
      <w:r>
        <w:rPr>
          <w:b/>
          <w:bCs/>
          <w:color w:val="1F5C99"/>
          <w:sz w:val="30"/>
          <w:szCs w:val="30"/>
        </w:rPr>
        <w:t xml:space="preserve">2. Configuración inicial</w:t>
      </w:r>
    </w:p>
    <w:p>
      <w:pPr>
        <w:pStyle w:val="Heading2"/>
        <w:spacing w:before="240" w:after="80"/>
      </w:pPr>
      <w:r>
        <w:rPr>
          <w:b/>
          <w:bCs/>
          <w:color w:val="2E75B6"/>
          <w:sz w:val="26"/>
          <w:szCs w:val="26"/>
        </w:rPr>
        <w:t xml:space="preserve">2.1 Ruta</w:t>
      </w:r>
    </w:p>
    <w:p>
      <w:pPr>
        <w:spacing w:before="60" w:after="80"/>
      </w:pPr>
      <w:r>
        <w:rPr>
          <w:sz w:val="22"/>
          <w:szCs w:val="22"/>
        </w:rPr>
        <w:t xml:space="preserve">Ir a </w:t>
      </w:r>
      <w:r>
        <w:rPr>
          <w:b/>
          <w:bCs/>
          <w:sz w:val="22"/>
          <w:szCs w:val="22"/>
        </w:rPr>
        <w:t xml:space="preserve">Configuración → Ajustes → Contabilidad → Configuración Peruana</w:t>
      </w:r>
      <w:r>
        <w:rPr>
          <w:sz w:val="22"/>
          <w:szCs w:val="22"/>
        </w:rPr>
        <w:t xml:space="preserve">.</w:t>
      </w:r>
    </w:p>
    <w:p>
      <w:pPr>
        <w:spacing w:before="0" w:after="80"/>
      </w:pPr>
    </w:p>
    <w:p>
      <w:pPr>
        <w:pStyle w:val="Heading2"/>
        <w:spacing w:before="240" w:after="80"/>
      </w:pPr>
      <w:r>
        <w:rPr>
          <w:b/>
          <w:bCs/>
          <w:color w:val="2E75B6"/>
          <w:sz w:val="26"/>
          <w:szCs w:val="26"/>
        </w:rPr>
        <w:t xml:space="preserve">2.2 Cuentas de detracciones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80"/>
        <w:gridCol w:w="238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37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c>
          <w:tcPr>
            <w:tcW w:type="dxa" w:w="238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Cuenta recomendada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de detracción (Venta)</w:t>
            </w:r>
          </w:p>
        </w:tc>
        <w:tc>
          <w:tcPr>
            <w:tcW w:type="dxa" w:w="37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donde se registra la detracción en facturas de venta (out_invoice). Es un pasivo para el vendedor: dinero que el comprador depositará en Banco de la Nación.</w:t>
            </w:r>
          </w:p>
        </w:tc>
        <w:tc>
          <w:tcPr>
            <w:tcW w:type="dxa" w:w="23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10 · 03 · XX — Detracciones por cobrar</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de detracción (Compra)</w:t>
            </w:r>
          </w:p>
        </w:tc>
        <w:tc>
          <w:tcPr>
            <w:tcW w:type="dxa" w:w="378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donde se registra la detracción en facturas de compra (in_invoice). El comprador la usa para registrar el depósito pendiente al Banco de la Nación.</w:t>
            </w:r>
          </w:p>
        </w:tc>
        <w:tc>
          <w:tcPr>
            <w:tcW w:type="dxa" w:w="238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42 · 12 · XX — Detracciones por pagar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para ganancias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Diferencia positiva al pagar la detracción (diferencia de cambio o redondeo).</w:t>
            </w:r>
          </w:p>
        </w:tc>
        <w:tc>
          <w:tcPr>
            <w:tcW w:type="dxa" w:w="23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77 · XX — Ganancia por diferencia</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para pérdidas</w:t>
            </w:r>
          </w:p>
        </w:tc>
        <w:tc>
          <w:tcPr>
            <w:tcW w:type="dxa" w:w="378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Diferencia negativa al pagar la detracción.</w:t>
            </w:r>
          </w:p>
        </w:tc>
        <w:tc>
          <w:tcPr>
            <w:tcW w:type="dxa" w:w="238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67 · XX — Pérdida por diferencia</w:t>
            </w:r>
          </w:p>
        </w:tc>
      </w:tr>
    </w:tbl>
    <w:p>
      <w:pPr>
        <w:spacing w:before="0" w:after="80"/>
      </w:pPr>
    </w:p>
    <w:p>
      <w:pPr>
        <w:pStyle w:val="Heading2"/>
        <w:spacing w:before="240" w:after="80"/>
      </w:pPr>
      <w:r>
        <w:rPr>
          <w:b/>
          <w:bCs/>
          <w:color w:val="2E75B6"/>
          <w:sz w:val="26"/>
          <w:szCs w:val="26"/>
        </w:rPr>
        <w:t xml:space="preserve">2.3 Fecha de vencimiento de detracción</w:t>
      </w:r>
    </w:p>
    <w:p>
      <w:pPr>
        <w:spacing w:before="60" w:after="80"/>
      </w:pPr>
      <w:r>
        <w:rPr>
          <w:sz w:val="22"/>
          <w:szCs w:val="22"/>
        </w:rPr>
        <w:t xml:space="preserve">Cuando la opción 'Gestionar fecha de vencimiento de detracción' está activa, la línea de detracción en el asiento de la factura tendrá como fecha de vencimiento el día N del mes siguiente a la fecha de emisión.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53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Gestionar fecha de vencimiento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Activa el cálculo automático de la fecha de vencimiento.</w:t>
            </w:r>
          </w:p>
        </w:tc>
      </w:tr>
      <w:tr>
        <w:tc>
          <w:tcPr>
            <w:tcW w:type="dxa" w:w="40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Día de vencimiento (mes siguiente)</w:t>
            </w:r>
          </w:p>
        </w:tc>
        <w:tc>
          <w:tcPr>
            <w:tcW w:type="dxa" w:w="53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Número de día del mes siguiente. SUNAT establece día 5 como máximo. Rango permitido: 1-28. El sistema capea automáticamente para meses cortos (ej. febrero).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8E1" w:val="clear"/>
            <w:tcMar>
              <w:top w:type="dxa" w:w="100"/>
              <w:left w:type="dxa" w:w="200"/>
              <w:bottom w:type="dxa" w:w="100"/>
              <w:right w:type="dxa" w:w="200"/>
            </w:tcMar>
          </w:tcPr>
          <w:p>
            <w:r>
              <w:rPr>
                <w:b/>
                <w:bCs/>
                <w:sz w:val="22"/>
                <w:szCs w:val="22"/>
              </w:rPr>
              <w:t xml:space="preserve">⚠  Importante</w:t>
            </w:r>
          </w:p>
          <w:p>
            <w:r>
              <w:rPr>
                <w:sz w:val="21"/>
                <w:szCs w:val="21"/>
              </w:rPr>
              <w:t xml:space="preserve">Según la R.S. N.° 183-2004/SUNAT, el plazo máximo para depositar la detracción es el quinto día hábil del mes siguiente a la fecha de emisión del comprobante. Se recomienda configurar el valor 5.</w:t>
            </w:r>
          </w:p>
        </w:tc>
      </w:tr>
    </w:tbl>
    <w:p>
      <w:pPr>
        <w:spacing w:before="0" w:after="80"/>
      </w:pPr>
    </w:p>
    <w:p>
      <w:pPr>
        <w:pStyle w:val="Heading2"/>
        <w:spacing w:before="240" w:after="80"/>
      </w:pPr>
      <w:r>
        <w:rPr>
          <w:b/>
          <w:bCs/>
          <w:color w:val="2E75B6"/>
          <w:sz w:val="26"/>
          <w:szCs w:val="26"/>
        </w:rPr>
        <w:t xml:space="preserve">2.4 Cuentas de retenciones IGV</w:t>
      </w:r>
    </w:p>
    <w:p>
      <w:pPr>
        <w:spacing w:before="60" w:after="80"/>
      </w:pPr>
      <w:r>
        <w:rPr>
          <w:sz w:val="22"/>
          <w:szCs w:val="22"/>
        </w:rPr>
        <w:t xml:space="preserve">Las cuentas de retención tienen naturaleza opuesta según el rol contable de la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000"/>
        <w:gridCol w:w="2060"/>
      </w:tblGrid>
      <w:tr>
        <w:trPr>
          <w:tblHeader/>
        </w:trPr>
        <w:tc>
          <w:tcPr>
            <w:tcW w:type="dxa" w:w="27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26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Rol</w:t>
            </w:r>
          </w:p>
        </w:tc>
        <w:tc>
          <w:tcPr>
            <w:tcW w:type="dxa" w:w="20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Naturaleza</w:t>
            </w:r>
          </w:p>
        </w:tc>
        <w:tc>
          <w:tcPr>
            <w:tcW w:type="dxa" w:w="20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Cuenta recomendada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de retenciones [Compra]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Agente de retención (comprador designado por SUNAT)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Pasivo — IGV retenido por pagar a SUNAT en FV-626</w:t>
            </w:r>
          </w:p>
        </w:tc>
        <w:tc>
          <w:tcPr>
            <w:tcW w:type="dxa" w:w="2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40 · 17 · XX — Retenciones IGV por pagar</w:t>
            </w:r>
          </w:p>
        </w:tc>
      </w:tr>
      <w:tr>
        <w:tc>
          <w:tcPr>
            <w:tcW w:type="dxa" w:w="27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de retenciones [Venta]</w:t>
            </w:r>
          </w:p>
        </w:tc>
        <w:tc>
          <w:tcPr>
            <w:tcW w:type="dxa" w:w="26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Proveedor retenido (vendedor)</w:t>
            </w:r>
          </w:p>
        </w:tc>
        <w:tc>
          <w:tcPr>
            <w:tcW w:type="dxa" w:w="20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Activo — IGV retenido por cobrar / crédito fiscal SUNAT</w:t>
            </w:r>
          </w:p>
        </w:tc>
        <w:tc>
          <w:tcPr>
            <w:tcW w:type="dxa" w:w="20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16 · 12 · XX — Retenciones IGV por cobrar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E8F0FA" w:val="clear"/>
            <w:tcMar>
              <w:top w:type="dxa" w:w="100"/>
              <w:left w:type="dxa" w:w="200"/>
              <w:bottom w:type="dxa" w:w="100"/>
              <w:right w:type="dxa" w:w="200"/>
            </w:tcMar>
          </w:tcPr>
          <w:p>
            <w:r>
              <w:rPr>
                <w:b/>
                <w:bCs/>
                <w:sz w:val="22"/>
                <w:szCs w:val="22"/>
              </w:rPr>
              <w:t xml:space="preserve">ℹ  Nota</w:t>
            </w:r>
          </w:p>
          <w:p>
            <w:r>
              <w:rPr>
                <w:sz w:val="21"/>
                <w:szCs w:val="21"/>
              </w:rPr>
              <w:t xml:space="preserve">Si tu empresa solo actúa como vendedor (proveedor retenido), configura únicamente la cuenta de retenciones [Venta]. Si actúas como agente de retención, configura la cuenta [Compra]. Si actúas en ambos roles, configura ambas.</w:t>
            </w:r>
          </w:p>
        </w:tc>
      </w:tr>
    </w:tbl>
    <w:p>
      <w:pPr>
        <w:spacing w:before="0" w:after="80"/>
      </w:pPr>
    </w:p>
    <w:p>
      <w:r>
        <w:br w:type="page"/>
      </w:r>
    </w:p>
    <w:p>
      <w:pPr>
        <w:pStyle w:val="Heading1"/>
        <w:spacing w:before="320" w:after="120"/>
      </w:pPr>
      <w:r>
        <w:rPr>
          <w:b/>
          <w:bCs/>
          <w:color w:val="1F5C99"/>
          <w:sz w:val="30"/>
          <w:szCs w:val="30"/>
        </w:rPr>
        <w:t xml:space="preserve">3. Detracciones SPOT</w:t>
      </w:r>
    </w:p>
    <w:p>
      <w:pPr>
        <w:pStyle w:val="Heading2"/>
        <w:spacing w:before="240" w:after="80"/>
      </w:pPr>
      <w:r>
        <w:rPr>
          <w:b/>
          <w:bCs/>
          <w:color w:val="2E75B6"/>
          <w:sz w:val="26"/>
          <w:szCs w:val="26"/>
        </w:rPr>
        <w:t xml:space="preserve">3.1 Cómo funciona el asiento</w:t>
      </w:r>
    </w:p>
    <w:p>
      <w:pPr>
        <w:spacing w:before="60" w:after="80"/>
      </w:pPr>
      <w:r>
        <w:rPr>
          <w:sz w:val="22"/>
          <w:szCs w:val="22"/>
        </w:rPr>
        <w:t xml:space="preserve">Cuando una factura tiene detracción (campo tiene_detraccion = True, calculado por el módulo solse_pe_cpe), el sistema genera automáticamente dos líneas en el asiento de cuenta por cobrar / pagar, en lugar de una:</w:t>
      </w:r>
    </w:p>
    <w:p>
      <w:pPr>
        <w:spacing w:before="100" w:after="40"/>
      </w:pPr>
      <w:r>
        <w:rPr>
          <w:b/>
          <w:bCs/>
          <w:i/>
          <w:iCs/>
          <w:color w:val="444444"/>
          <w:sz w:val="21"/>
          <w:szCs w:val="21"/>
        </w:rPr>
        <w:t xml:space="preserve">Ejemplo: Factura de venta S/ 1,000 + IGV 18% = S/ 1,180 | Tasa detracción 12% = S/ 141.60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gridCol w:w="17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Cuenta</w:t>
            </w:r>
          </w:p>
        </w:tc>
        <w:tc>
          <w:tcPr>
            <w:tcW w:type="dxa" w:w="20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Debe</w:t>
            </w:r>
          </w:p>
        </w:tc>
        <w:tc>
          <w:tcPr>
            <w:tcW w:type="dxa" w:w="176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Haber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bCs/>
                <w:sz w:val="20"/>
                <w:szCs w:val="20"/>
              </w:rPr>
              <w:t xml:space="preserve">70 · Ventas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Ingreso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1,000.00</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Courier New" w:cs="Courier New" w:eastAsia="Courier New" w:hAnsi="Courier New"/>
                <w:b/>
                <w:bCs/>
                <w:sz w:val="20"/>
                <w:szCs w:val="20"/>
              </w:rPr>
              <w:t xml:space="preserve">40 · IGV por pagar</w:t>
            </w:r>
          </w:p>
        </w:tc>
        <w:tc>
          <w:tcPr>
            <w:tcW w:type="dxa" w:w="20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Pasivo</w:t>
            </w:r>
          </w:p>
        </w:tc>
        <w:tc>
          <w:tcPr>
            <w:tcW w:type="dxa" w:w="1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
            </w:r>
          </w:p>
        </w:tc>
        <w:tc>
          <w:tcPr>
            <w:tcW w:type="dxa" w:w="176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180.00</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bCs/>
                <w:sz w:val="20"/>
                <w:szCs w:val="20"/>
              </w:rPr>
              <w:t xml:space="preserve">12 · Cuentas por cobrar (neto)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Activo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1,038.40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Courier New" w:cs="Courier New" w:eastAsia="Courier New" w:hAnsi="Courier New"/>
                <w:b/>
                <w:bCs/>
                <w:sz w:val="20"/>
                <w:szCs w:val="20"/>
              </w:rPr>
              <w:t xml:space="preserve">10 · 03 · Detracciones</w:t>
            </w:r>
          </w:p>
        </w:tc>
        <w:tc>
          <w:tcPr>
            <w:tcW w:type="dxa" w:w="20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Activo</w:t>
            </w:r>
          </w:p>
        </w:tc>
        <w:tc>
          <w:tcPr>
            <w:tcW w:type="dxa" w:w="1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141.60</w:t>
            </w:r>
          </w:p>
        </w:tc>
        <w:tc>
          <w:tcPr>
            <w:tcW w:type="dxa" w:w="176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
            </w:r>
          </w:p>
        </w:tc>
      </w:tr>
    </w:tbl>
    <w:p>
      <w:pPr>
        <w:spacing w:before="0" w:after="80"/>
      </w:pPr>
    </w:p>
    <w:p>
      <w:pPr>
        <w:spacing w:before="60" w:after="80"/>
      </w:pPr>
      <w:r>
        <w:rPr>
          <w:sz w:val="22"/>
          <w:szCs w:val="22"/>
        </w:rPr>
        <w:t xml:space="preserve">La línea de detracción usa la </w:t>
      </w:r>
      <w:r>
        <w:rPr>
          <w:b/>
          <w:bCs/>
          <w:sz w:val="22"/>
          <w:szCs w:val="22"/>
        </w:rPr>
        <w:t xml:space="preserve">cuenta de detracción [Venta]</w:t>
      </w:r>
      <w:r>
        <w:rPr>
          <w:sz w:val="22"/>
          <w:szCs w:val="22"/>
        </w:rPr>
        <w:t xml:space="preserve"> configurada en ajustes. Para facturas de compra se usa la cuenta </w:t>
      </w:r>
      <w:r>
        <w:rPr>
          <w:b/>
          <w:bCs/>
          <w:sz w:val="22"/>
          <w:szCs w:val="22"/>
        </w:rPr>
        <w:t xml:space="preserve">[Compra]</w:t>
      </w:r>
      <w:r>
        <w:rPr>
          <w:sz w:val="22"/>
          <w:szCs w:val="22"/>
        </w:rPr>
        <w:t xml:space="preserve">.</w:t>
      </w:r>
    </w:p>
    <w:p>
      <w:pPr>
        <w:spacing w:before="0" w:after="80"/>
      </w:pPr>
    </w:p>
    <w:p>
      <w:pPr>
        <w:pStyle w:val="Heading2"/>
        <w:spacing w:before="240" w:after="80"/>
      </w:pPr>
      <w:r>
        <w:rPr>
          <w:b/>
          <w:bCs/>
          <w:color w:val="2E75B6"/>
          <w:sz w:val="26"/>
          <w:szCs w:val="26"/>
        </w:rPr>
        <w:t xml:space="preserve">3.2 Fecha de vencimiento</w:t>
      </w:r>
    </w:p>
    <w:p>
      <w:pPr>
        <w:spacing w:before="60" w:after="80"/>
      </w:pPr>
      <w:r>
        <w:rPr>
          <w:sz w:val="22"/>
          <w:szCs w:val="22"/>
        </w:rPr>
        <w:t xml:space="preserve">Si la empresa tiene activa la opción 'Gestionar fecha de vencimiento de detracción', la línea de detracción tendrá como fecha de vencimiento el día N del mes siguiente a la fecha de emisión. Esta fecha también se muestra en el campo informativo 'Vencimiento detracción' en el formulario de la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E8F0FA" w:val="clear"/>
            <w:tcMar>
              <w:top w:type="dxa" w:w="100"/>
              <w:left w:type="dxa" w:w="200"/>
              <w:bottom w:type="dxa" w:w="100"/>
              <w:right w:type="dxa" w:w="200"/>
            </w:tcMar>
          </w:tcPr>
          <w:p>
            <w:r>
              <w:rPr>
                <w:b/>
                <w:bCs/>
                <w:sz w:val="22"/>
                <w:szCs w:val="22"/>
              </w:rPr>
              <w:t xml:space="preserve">ℹ  Nota</w:t>
            </w:r>
          </w:p>
          <w:p>
            <w:r>
              <w:rPr>
                <w:sz w:val="21"/>
                <w:szCs w:val="21"/>
              </w:rPr>
              <w:t xml:space="preserve">Si la opción de fecha de vencimiento NO está activa, la línea de detracción usa la misma fecha de la factura como vencimiento. Esto es útil si el cliente gestiona el vencimiento manualmente por lote de documentos.</w:t>
            </w:r>
          </w:p>
        </w:tc>
      </w:tr>
    </w:tbl>
    <w:p>
      <w:pPr>
        <w:spacing w:before="0" w:after="80"/>
      </w:pPr>
    </w:p>
    <w:p>
      <w:pPr>
        <w:pStyle w:val="Heading2"/>
        <w:spacing w:before="240" w:after="80"/>
      </w:pPr>
      <w:r>
        <w:rPr>
          <w:b/>
          <w:bCs/>
          <w:color w:val="2E75B6"/>
          <w:sz w:val="26"/>
          <w:szCs w:val="26"/>
        </w:rPr>
        <w:t xml:space="preserve">3.3 Registrar el pago de la detracción</w:t>
      </w:r>
    </w:p>
    <w:p>
      <w:pPr>
        <w:spacing w:before="60" w:after="80"/>
      </w:pPr>
      <w:r>
        <w:rPr>
          <w:sz w:val="22"/>
          <w:szCs w:val="22"/>
        </w:rPr>
        <w:t xml:space="preserve">Desde la factura, ir a Registrar Pago. El wizard mostrará automáticamente los campos de detracción cuando la factura tiene detracción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 del wizard</w:t>
            </w:r>
          </w:p>
        </w:tc>
        <w:tc>
          <w:tcPr>
            <w:tcW w:type="dxa" w:w="6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Es por Detracción/Retención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Marcar para indicar que este pago corresponde a la detracción o retención, no al saldo neto.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Tipo pago</w:t>
            </w:r>
          </w:p>
        </w:tc>
        <w:tc>
          <w:tcPr>
            <w:tcW w:type="dxa" w:w="6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Seleccionar 'Detracción'. El sistema pre-carga el monto total de detracción de las facturas seleccionadas.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Número de operación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Número de la operación bancaria del depósito en el Banco de la Nación. Campo requerido cuando se marca Es por Detracción/Retención.</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Autodetracción</w:t>
            </w:r>
          </w:p>
        </w:tc>
        <w:tc>
          <w:tcPr>
            <w:tcW w:type="dxa" w:w="6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Ver sección 3.4.</w:t>
            </w:r>
          </w:p>
        </w:tc>
      </w:tr>
    </w:tbl>
    <w:p>
      <w:pPr>
        <w:spacing w:before="0" w:after="80"/>
      </w:pPr>
    </w:p>
    <w:p>
      <w:pPr>
        <w:spacing w:before="60" w:after="80"/>
      </w:pPr>
      <w:r>
        <w:rPr>
          <w:sz w:val="22"/>
          <w:szCs w:val="22"/>
        </w:rPr>
        <w:t xml:space="preserve">Al confirmar el pago de tipo 'Detracción', el sistema:</w:t>
      </w:r>
    </w:p>
    <w:p>
      <w:pPr>
        <w:pStyle w:val="ListParagraph"/>
        <w:numPr>
          <w:ilvl w:val="0"/>
          <w:numId w:val="2"/>
        </w:numPr>
        <w:spacing w:before="40" w:after="40"/>
      </w:pPr>
      <w:r>
        <w:rPr>
          <w:sz w:val="22"/>
          <w:szCs w:val="22"/>
        </w:rPr>
        <w:t xml:space="preserve">Usa la cuenta de detracción como cuenta destino del pago (no la cuenta por cobrar/pagar del partner).</w:t>
      </w:r>
    </w:p>
    <w:p>
      <w:pPr>
        <w:pStyle w:val="ListParagraph"/>
        <w:numPr>
          <w:ilvl w:val="0"/>
          <w:numId w:val="2"/>
        </w:numPr>
        <w:spacing w:before="40" w:after="40"/>
      </w:pPr>
      <w:r>
        <w:rPr>
          <w:sz w:val="22"/>
          <w:szCs w:val="22"/>
        </w:rPr>
        <w:t xml:space="preserve">Registra el campo pago_detraccion en la factura para trazabilidad. El wizard bloqueará un segundo intento de pago por detracción sobre la misma factura.</w:t>
      </w:r>
    </w:p>
    <w:p>
      <w:pPr>
        <w:pStyle w:val="ListParagraph"/>
        <w:numPr>
          <w:ilvl w:val="0"/>
          <w:numId w:val="2"/>
        </w:numPr>
        <w:spacing w:before="40" w:after="40"/>
      </w:pPr>
      <w:r>
        <w:rPr>
          <w:sz w:val="22"/>
          <w:szCs w:val="22"/>
        </w:rPr>
        <w:t xml:space="preserve">Si existe diferencia entre el monto de detracción calculado y el monto pagado, genera una línea adicional en las cuentas de ganancias o pérdidas configuradas.</w:t>
      </w:r>
    </w:p>
    <w:p>
      <w:pPr>
        <w:spacing w:before="0" w:after="80"/>
      </w:pPr>
    </w:p>
    <w:p>
      <w:pPr>
        <w:pStyle w:val="Heading2"/>
        <w:spacing w:before="240" w:after="80"/>
      </w:pPr>
      <w:r>
        <w:rPr>
          <w:b/>
          <w:bCs/>
          <w:color w:val="2E75B6"/>
          <w:sz w:val="26"/>
          <w:szCs w:val="26"/>
        </w:rPr>
        <w:t xml:space="preserve">3.4 Autodetracción</w:t>
      </w:r>
    </w:p>
    <w:p>
      <w:pPr>
        <w:spacing w:before="60" w:after="80"/>
      </w:pPr>
      <w:r>
        <w:rPr>
          <w:sz w:val="22"/>
          <w:szCs w:val="22"/>
        </w:rPr>
        <w:t xml:space="preserve">La autodetracción se usa cuando el comprador no deposita en el Banco de la Nación, sino que el sistema genera internamente la transferencia desde la cuenta corriente a la cuenta de detracciones.</w:t>
      </w:r>
    </w:p>
    <w:p>
      <w:pPr>
        <w:pStyle w:val="ListParagraph"/>
        <w:numPr>
          <w:ilvl w:val="0"/>
          <w:numId w:val="2"/>
        </w:numPr>
        <w:spacing w:before="40" w:after="40"/>
      </w:pPr>
      <w:r>
        <w:rPr>
          <w:sz w:val="22"/>
          <w:szCs w:val="22"/>
        </w:rPr>
        <w:t xml:space="preserve">Aplica principalmente a facturas de venta (out_invoice) donde la empresa actúa como proveedor y administra su propia detracción.</w:t>
      </w:r>
    </w:p>
    <w:p>
      <w:pPr>
        <w:pStyle w:val="ListParagraph"/>
        <w:numPr>
          <w:ilvl w:val="0"/>
          <w:numId w:val="2"/>
        </w:numPr>
        <w:spacing w:before="40" w:after="40"/>
      </w:pPr>
      <w:r>
        <w:rPr>
          <w:sz w:val="22"/>
          <w:szCs w:val="22"/>
        </w:rPr>
        <w:t xml:space="preserve">Al marcar el check 'Autodetracción', el campo de monto principal se oculta y se muestra 'Importe' con el total de la factura.</w:t>
      </w:r>
    </w:p>
    <w:p>
      <w:pPr>
        <w:pStyle w:val="ListParagraph"/>
        <w:numPr>
          <w:ilvl w:val="0"/>
          <w:numId w:val="2"/>
        </w:numPr>
        <w:spacing w:before="40" w:after="40"/>
      </w:pPr>
      <w:r>
        <w:rPr>
          <w:sz w:val="22"/>
          <w:szCs w:val="22"/>
        </w:rPr>
        <w:t xml:space="preserve">El wizard genera dos asientos simultáneos: uno por el neto a cobrar y uno por la detracción como transferencia interna al diario de detracciones configurado.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FFF8E1" w:val="clear"/>
            <w:tcMar>
              <w:top w:type="dxa" w:w="100"/>
              <w:left w:type="dxa" w:w="200"/>
              <w:bottom w:type="dxa" w:w="100"/>
              <w:right w:type="dxa" w:w="200"/>
            </w:tcMar>
          </w:tcPr>
          <w:p>
            <w:r>
              <w:rPr>
                <w:b/>
                <w:bCs/>
                <w:sz w:val="22"/>
                <w:szCs w:val="22"/>
              </w:rPr>
              <w:t xml:space="preserve">⚠  Importante</w:t>
            </w:r>
          </w:p>
          <w:p>
            <w:r>
              <w:rPr>
                <w:sz w:val="21"/>
                <w:szCs w:val="21"/>
              </w:rPr>
              <w:t xml:space="preserve">La autodetracción con pago agrupado (group_payment = True) no está soportada. El sistema lanzará un UserError si se intenta.</w:t>
            </w:r>
          </w:p>
        </w:tc>
      </w:tr>
    </w:tbl>
    <w:p>
      <w:pPr>
        <w:spacing w:before="0" w:after="80"/>
      </w:pPr>
    </w:p>
    <w:p>
      <w:r>
        <w:br w:type="page"/>
      </w:r>
    </w:p>
    <w:p>
      <w:pPr>
        <w:pStyle w:val="Heading1"/>
        <w:spacing w:before="320" w:after="120"/>
      </w:pPr>
      <w:r>
        <w:rPr>
          <w:b/>
          <w:bCs/>
          <w:color w:val="1F5C99"/>
          <w:sz w:val="30"/>
          <w:szCs w:val="30"/>
        </w:rPr>
        <w:t xml:space="preserve">4. Retenciones IGV</w:t>
      </w:r>
    </w:p>
    <w:p>
      <w:pPr>
        <w:pStyle w:val="Heading2"/>
        <w:spacing w:before="240" w:after="80"/>
      </w:pPr>
      <w:r>
        <w:rPr>
          <w:b/>
          <w:bCs/>
          <w:color w:val="2E75B6"/>
          <w:sz w:val="26"/>
          <w:szCs w:val="26"/>
        </w:rPr>
        <w:t xml:space="preserve">4.1 Marco normativo</w:t>
      </w:r>
    </w:p>
    <w:p>
      <w:pPr>
        <w:spacing w:before="60" w:after="80"/>
      </w:pPr>
      <w:r>
        <w:rPr>
          <w:sz w:val="22"/>
          <w:szCs w:val="22"/>
        </w:rPr>
        <w:t xml:space="preserve">El Régimen de Retenciones del IGV (R.S. N.° 037-2002/SUNAT) obliga al agente de retención a retener el 3% del importe total pagado al proveedor. La retención no opera sobre la factura sino sobre el pago, pero para efectos contables peruanos se registra el split desde el asiento de la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Condición</w:t>
            </w:r>
          </w:p>
        </w:tc>
        <w:tc>
          <w:tcPr>
            <w:tcW w:type="dxa" w:w="7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Tasa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3% del importe total incluyendo IGV</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Umbral</w:t>
            </w:r>
          </w:p>
        </w:tc>
        <w:tc>
          <w:tcPr>
            <w:tcW w:type="dxa" w:w="7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No aplica si el importe total de la operación es igual o menor a S/ 700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Exclusión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No puede coexistir detracción y retención en la misma factura</w:t>
            </w:r>
          </w:p>
        </w:tc>
      </w:tr>
      <w:tr>
        <w:tc>
          <w:tcPr>
            <w:tcW w:type="dxa" w:w="2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Agente</w:t>
            </w:r>
          </w:p>
        </w:tc>
        <w:tc>
          <w:tcPr>
            <w:tcW w:type="dxa" w:w="7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Solo los proveedores designados por SUNAT como Agentes de Retención están obligados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Declaración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FV-626, presentación mensual según cronograma SUNAT</w:t>
            </w:r>
          </w:p>
        </w:tc>
      </w:tr>
    </w:tbl>
    <w:p>
      <w:pPr>
        <w:spacing w:before="0" w:after="80"/>
      </w:pPr>
    </w:p>
    <w:p>
      <w:pPr>
        <w:pStyle w:val="Heading2"/>
        <w:spacing w:before="240" w:after="80"/>
      </w:pPr>
      <w:r>
        <w:rPr>
          <w:b/>
          <w:bCs/>
          <w:color w:val="2E75B6"/>
          <w:sz w:val="26"/>
          <w:szCs w:val="26"/>
        </w:rPr>
        <w:t xml:space="preserve">4.2 Asiento de factura con retención</w:t>
      </w:r>
    </w:p>
    <w:p>
      <w:pPr>
        <w:spacing w:before="60" w:after="80"/>
      </w:pPr>
      <w:r>
        <w:rPr>
          <w:sz w:val="22"/>
          <w:szCs w:val="22"/>
        </w:rPr>
        <w:t xml:space="preserve">Al igual que la detracción, cuando una factura tiene retención (tiene_retencion = True), el sistema genera la línea de retención como split:</w:t>
      </w:r>
    </w:p>
    <w:p>
      <w:pPr>
        <w:spacing w:before="100" w:after="40"/>
      </w:pPr>
      <w:r>
        <w:rPr>
          <w:b/>
          <w:bCs/>
          <w:i/>
          <w:iCs/>
          <w:color w:val="444444"/>
          <w:sz w:val="21"/>
          <w:szCs w:val="21"/>
        </w:rPr>
        <w:t xml:space="preserve">Ejemplo: Factura de compra S/ 1,000 + IGV S/ 180 = S/ 1,180 | Retención 3% = S/ 35.40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800"/>
        <w:gridCol w:w="17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Cuenta</w:t>
            </w:r>
          </w:p>
        </w:tc>
        <w:tc>
          <w:tcPr>
            <w:tcW w:type="dxa" w:w="20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Tipo</w:t>
            </w:r>
          </w:p>
        </w:tc>
        <w:tc>
          <w:tcPr>
            <w:tcW w:type="dxa" w:w="180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Debe</w:t>
            </w:r>
          </w:p>
        </w:tc>
        <w:tc>
          <w:tcPr>
            <w:tcW w:type="dxa" w:w="1760"/>
            <w:tcBorders>
              <w:top w:val="single" w:color="CCCCCC" w:sz="1"/>
              <w:left w:val="single" w:color="CCCCCC" w:sz="1"/>
              <w:bottom w:val="single" w:color="CCCCCC" w:sz="1"/>
              <w:right w:val="single" w:color="CCCCCC" w:sz="1"/>
            </w:tcBorders>
            <w:shd w:fill="2E75B6" w:val="clear"/>
            <w:tcMar>
              <w:top w:type="dxa" w:w="60"/>
              <w:left w:type="dxa" w:w="140"/>
              <w:bottom w:type="dxa" w:w="60"/>
              <w:right w:type="dxa" w:w="140"/>
            </w:tcMar>
          </w:tcPr>
          <w:p>
            <w:r>
              <w:rPr>
                <w:b/>
                <w:bCs/>
                <w:color w:val="FFFFFF"/>
                <w:sz w:val="20"/>
                <w:szCs w:val="20"/>
              </w:rPr>
              <w:t xml:space="preserve">Haber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bCs/>
                <w:sz w:val="20"/>
                <w:szCs w:val="20"/>
              </w:rPr>
              <w:t xml:space="preserve">60 · Compras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Gasto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1,000.00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Courier New" w:cs="Courier New" w:eastAsia="Courier New" w:hAnsi="Courier New"/>
                <w:b/>
                <w:bCs/>
                <w:sz w:val="20"/>
                <w:szCs w:val="20"/>
              </w:rPr>
              <w:t xml:space="preserve">40 · IGV crédito fiscal</w:t>
            </w:r>
          </w:p>
        </w:tc>
        <w:tc>
          <w:tcPr>
            <w:tcW w:type="dxa" w:w="20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Activo</w:t>
            </w:r>
          </w:p>
        </w:tc>
        <w:tc>
          <w:tcPr>
            <w:tcW w:type="dxa" w:w="1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180.00</w:t>
            </w:r>
          </w:p>
        </w:tc>
        <w:tc>
          <w:tcPr>
            <w:tcW w:type="dxa" w:w="176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Courier New" w:cs="Courier New" w:eastAsia="Courier New" w:hAnsi="Courier New"/>
                <w:b/>
                <w:bCs/>
                <w:sz w:val="20"/>
                <w:szCs w:val="20"/>
              </w:rPr>
              <w:t xml:space="preserve">42 · Cuentas por pagar (neto)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Pasivo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b w:val="false"/>
                <w:bCs w:val="false"/>
                <w:sz w:val="20"/>
                <w:szCs w:val="20"/>
              </w:rPr>
              <w:t xml:space="preserve">1,144.60</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Courier New" w:cs="Courier New" w:eastAsia="Courier New" w:hAnsi="Courier New"/>
                <w:b/>
                <w:bCs/>
                <w:sz w:val="20"/>
                <w:szCs w:val="20"/>
              </w:rPr>
              <w:t xml:space="preserve">40 · 17 · Retenciones por pagar</w:t>
            </w:r>
          </w:p>
        </w:tc>
        <w:tc>
          <w:tcPr>
            <w:tcW w:type="dxa" w:w="20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Pasivo</w:t>
            </w:r>
          </w:p>
        </w:tc>
        <w:tc>
          <w:tcPr>
            <w:tcW w:type="dxa" w:w="180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
            </w:r>
          </w:p>
        </w:tc>
        <w:tc>
          <w:tcPr>
            <w:tcW w:type="dxa" w:w="1760"/>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r>
              <w:rPr>
                <w:rFonts w:ascii="Arial" w:cs="Arial" w:eastAsia="Arial" w:hAnsi="Arial"/>
                <w:b w:val="false"/>
                <w:bCs w:val="false"/>
                <w:sz w:val="20"/>
                <w:szCs w:val="20"/>
              </w:rPr>
              <w:t xml:space="preserve">35.40</w:t>
            </w:r>
          </w:p>
        </w:tc>
      </w:tr>
    </w:tbl>
    <w:p>
      <w:pPr>
        <w:spacing w:before="0" w:after="80"/>
      </w:pPr>
    </w:p>
    <w:p>
      <w:pPr>
        <w:spacing w:before="60" w:after="80"/>
      </w:pPr>
      <w:r>
        <w:rPr>
          <w:sz w:val="22"/>
          <w:szCs w:val="22"/>
        </w:rPr>
        <w:t xml:space="preserve">Para facturas de venta donde la empresa es el proveedor retenido, la línea de retención usará la </w:t>
      </w:r>
      <w:r>
        <w:rPr>
          <w:b/>
          <w:bCs/>
          <w:sz w:val="22"/>
          <w:szCs w:val="22"/>
        </w:rPr>
        <w:t xml:space="preserve">cuenta de retenciones [Venta]</w:t>
      </w:r>
      <w:r>
        <w:rPr>
          <w:sz w:val="22"/>
          <w:szCs w:val="22"/>
        </w:rPr>
        <w:t xml:space="preserve"> (activo).</w:t>
      </w:r>
    </w:p>
    <w:p>
      <w:pPr>
        <w:spacing w:before="0" w:after="80"/>
      </w:pPr>
    </w:p>
    <w:p>
      <w:pPr>
        <w:pStyle w:val="Heading2"/>
        <w:spacing w:before="240" w:after="80"/>
      </w:pPr>
      <w:r>
        <w:rPr>
          <w:b/>
          <w:bCs/>
          <w:color w:val="2E75B6"/>
          <w:sz w:val="26"/>
          <w:szCs w:val="26"/>
        </w:rPr>
        <w:t xml:space="preserve">4.3 Registrar el pago de la retención</w:t>
      </w:r>
    </w:p>
    <w:p>
      <w:pPr>
        <w:spacing w:before="60" w:after="80"/>
      </w:pPr>
      <w:r>
        <w:rPr>
          <w:sz w:val="22"/>
          <w:szCs w:val="22"/>
        </w:rPr>
        <w:t xml:space="preserve">El flujo es análogo al de la detracción:</w:t>
      </w:r>
    </w:p>
    <w:p>
      <w:pPr>
        <w:pStyle w:val="ListParagraph"/>
        <w:numPr>
          <w:ilvl w:val="0"/>
          <w:numId w:val="2"/>
        </w:numPr>
        <w:spacing w:before="40" w:after="40"/>
      </w:pPr>
      <w:r>
        <w:rPr>
          <w:sz w:val="22"/>
          <w:szCs w:val="22"/>
        </w:rPr>
        <w:t xml:space="preserve">Desde la factura, ir a Registrar Pago.</w:t>
      </w:r>
    </w:p>
    <w:p>
      <w:pPr>
        <w:pStyle w:val="ListParagraph"/>
        <w:numPr>
          <w:ilvl w:val="0"/>
          <w:numId w:val="2"/>
        </w:numPr>
        <w:spacing w:before="40" w:after="40"/>
      </w:pPr>
      <w:r>
        <w:rPr>
          <w:sz w:val="22"/>
          <w:szCs w:val="22"/>
        </w:rPr>
        <w:t xml:space="preserve">[object Object]Seleccionar 'Retención'. El sistema pre-carga el monto de retención.</w:t>
      </w:r>
    </w:p>
    <w:p>
      <w:pPr>
        <w:pStyle w:val="ListParagraph"/>
        <w:numPr>
          <w:ilvl w:val="0"/>
          <w:numId w:val="2"/>
        </w:numPr>
        <w:spacing w:before="40" w:after="40"/>
      </w:pPr>
      <w:r>
        <w:rPr>
          <w:sz w:val="22"/>
          <w:szCs w:val="22"/>
        </w:rPr>
        <w:t xml:space="preserve">Número de operación: ingresar el número de la operación de pago.</w:t>
      </w:r>
    </w:p>
    <w:p>
      <w:pPr>
        <w:pStyle w:val="ListParagraph"/>
        <w:numPr>
          <w:ilvl w:val="0"/>
          <w:numId w:val="2"/>
        </w:numPr>
        <w:spacing w:before="40" w:after="40"/>
      </w:pPr>
      <w:r>
        <w:rPr>
          <w:sz w:val="22"/>
          <w:szCs w:val="22"/>
        </w:rPr>
        <w:t xml:space="preserve">Al confirmar, el sistema usa la cuenta de retención como destino y registra pago_retencion en la factura.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E8F0FA" w:val="clear"/>
            <w:tcMar>
              <w:top w:type="dxa" w:w="100"/>
              <w:left w:type="dxa" w:w="200"/>
              <w:bottom w:type="dxa" w:w="100"/>
              <w:right w:type="dxa" w:w="200"/>
            </w:tcMar>
          </w:tcPr>
          <w:p>
            <w:r>
              <w:rPr>
                <w:b/>
                <w:bCs/>
                <w:sz w:val="22"/>
                <w:szCs w:val="22"/>
              </w:rPr>
              <w:t xml:space="preserve">ℹ  Nota</w:t>
            </w:r>
          </w:p>
          <w:p>
            <w:r>
              <w:rPr>
                <w:sz w:val="21"/>
                <w:szCs w:val="21"/>
              </w:rPr>
              <w:t xml:space="preserve">El campo pago_retencion es independiente de pago_detraccion. Una factura puede tener solo uno de los dos según corresponda, nunca ambos simultáneamente (ver exclusión normativa).</w:t>
            </w:r>
          </w:p>
        </w:tc>
      </w:tr>
    </w:tbl>
    <w:p>
      <w:pPr>
        <w:spacing w:before="0" w:after="80"/>
      </w:pPr>
    </w:p>
    <w:p>
      <w:pPr>
        <w:pStyle w:val="Heading2"/>
        <w:spacing w:before="240" w:after="80"/>
      </w:pPr>
      <w:r>
        <w:rPr>
          <w:b/>
          <w:bCs/>
          <w:color w:val="2E75B6"/>
          <w:sz w:val="26"/>
          <w:szCs w:val="26"/>
        </w:rPr>
        <w:t xml:space="preserve">4.4 Flujo del agente de retención (Compra)</w:t>
      </w:r>
    </w:p>
    <w:p>
      <w:pPr>
        <w:pStyle w:val="ListParagraph"/>
        <w:numPr>
          <w:ilvl w:val="0"/>
          <w:numId w:val="2"/>
        </w:numPr>
        <w:spacing w:before="40" w:after="40"/>
      </w:pPr>
      <w:r>
        <w:rPr>
          <w:sz w:val="22"/>
          <w:szCs w:val="22"/>
        </w:rPr>
        <w:t xml:space="preserve">Empresa recibe factura del proveedor con retención activa.</w:t>
      </w:r>
    </w:p>
    <w:p>
      <w:pPr>
        <w:pStyle w:val="ListParagraph"/>
        <w:numPr>
          <w:ilvl w:val="0"/>
          <w:numId w:val="2"/>
        </w:numPr>
        <w:spacing w:before="40" w:after="40"/>
      </w:pPr>
      <w:r>
        <w:rPr>
          <w:sz w:val="22"/>
          <w:szCs w:val="22"/>
        </w:rPr>
        <w:t xml:space="preserve">Al confirmar la factura, el asiento incluye la línea en 40·17 (pasivo).</w:t>
      </w:r>
    </w:p>
    <w:p>
      <w:pPr>
        <w:pStyle w:val="ListParagraph"/>
        <w:numPr>
          <w:ilvl w:val="0"/>
          <w:numId w:val="2"/>
        </w:numPr>
        <w:spacing w:before="40" w:after="40"/>
      </w:pPr>
      <w:r>
        <w:rPr>
          <w:sz w:val="22"/>
          <w:szCs w:val="22"/>
        </w:rPr>
        <w:t xml:space="preserve">Al pagar, seleccionar tipo = Retención: se concilia la línea del pasivo.</w:t>
      </w:r>
    </w:p>
    <w:p>
      <w:pPr>
        <w:pStyle w:val="ListParagraph"/>
        <w:numPr>
          <w:ilvl w:val="0"/>
          <w:numId w:val="2"/>
        </w:numPr>
        <w:spacing w:before="40" w:after="40"/>
      </w:pPr>
      <w:r>
        <w:rPr>
          <w:sz w:val="22"/>
          <w:szCs w:val="22"/>
        </w:rPr>
        <w:t xml:space="preserve">Al declarar FV-626, el saldo en 40·17 debe ser cero para el mes declarado.</w:t>
      </w:r>
    </w:p>
    <w:p>
      <w:pPr>
        <w:spacing w:before="0" w:after="80"/>
      </w:pPr>
    </w:p>
    <w:p>
      <w:pPr>
        <w:pStyle w:val="Heading2"/>
        <w:spacing w:before="240" w:after="80"/>
      </w:pPr>
      <w:r>
        <w:rPr>
          <w:b/>
          <w:bCs/>
          <w:color w:val="2E75B6"/>
          <w:sz w:val="26"/>
          <w:szCs w:val="26"/>
        </w:rPr>
        <w:t xml:space="preserve">4.5 Flujo del proveedor retenido (Venta)</w:t>
      </w:r>
    </w:p>
    <w:p>
      <w:pPr>
        <w:pStyle w:val="ListParagraph"/>
        <w:numPr>
          <w:ilvl w:val="0"/>
          <w:numId w:val="2"/>
        </w:numPr>
        <w:spacing w:before="40" w:after="40"/>
      </w:pPr>
      <w:r>
        <w:rPr>
          <w:sz w:val="22"/>
          <w:szCs w:val="22"/>
        </w:rPr>
        <w:t xml:space="preserve">Empresa emite factura al cliente agente de retención.</w:t>
      </w:r>
    </w:p>
    <w:p>
      <w:pPr>
        <w:pStyle w:val="ListParagraph"/>
        <w:numPr>
          <w:ilvl w:val="0"/>
          <w:numId w:val="2"/>
        </w:numPr>
        <w:spacing w:before="40" w:after="40"/>
      </w:pPr>
      <w:r>
        <w:rPr>
          <w:sz w:val="22"/>
          <w:szCs w:val="22"/>
        </w:rPr>
        <w:t xml:space="preserve">Al confirmar, el asiento incluye la línea en 16·12 (activo: IGV retenido por cobrar).</w:t>
      </w:r>
    </w:p>
    <w:p>
      <w:pPr>
        <w:pStyle w:val="ListParagraph"/>
        <w:numPr>
          <w:ilvl w:val="0"/>
          <w:numId w:val="2"/>
        </w:numPr>
        <w:spacing w:before="40" w:after="40"/>
      </w:pPr>
      <w:r>
        <w:rPr>
          <w:sz w:val="22"/>
          <w:szCs w:val="22"/>
        </w:rPr>
        <w:t xml:space="preserve">Al recibir el pago neto del cliente, registrar tipo = Retención para conciliar la línea 16·12.</w:t>
      </w:r>
    </w:p>
    <w:p>
      <w:pPr>
        <w:pStyle w:val="ListParagraph"/>
        <w:numPr>
          <w:ilvl w:val="0"/>
          <w:numId w:val="2"/>
        </w:numPr>
        <w:spacing w:before="40" w:after="40"/>
      </w:pPr>
      <w:r>
        <w:rPr>
          <w:sz w:val="22"/>
          <w:szCs w:val="22"/>
        </w:rPr>
        <w:t xml:space="preserve">El saldo en 16·12 es un crédito aplicable contra futuras declaraciones de IGV.</w:t>
      </w:r>
    </w:p>
    <w:p>
      <w:pPr>
        <w:spacing w:before="0" w:after="80"/>
      </w:pPr>
    </w:p>
    <w:p>
      <w:r>
        <w:br w:type="page"/>
      </w:r>
    </w:p>
    <w:p>
      <w:pPr>
        <w:pStyle w:val="Heading1"/>
        <w:spacing w:before="320" w:after="120"/>
      </w:pPr>
      <w:r>
        <w:rPr>
          <w:b/>
          <w:bCs/>
          <w:color w:val="1F5C99"/>
          <w:sz w:val="30"/>
          <w:szCs w:val="30"/>
        </w:rPr>
        <w:t xml:space="preserve">5. Tipo de cambio según normativa SUNAT</w:t>
      </w:r>
    </w:p>
    <w:p>
      <w:pPr>
        <w:pStyle w:val="Heading2"/>
        <w:spacing w:before="240" w:after="80"/>
      </w:pPr>
      <w:r>
        <w:rPr>
          <w:b/>
          <w:bCs/>
          <w:color w:val="2E75B6"/>
          <w:sz w:val="26"/>
          <w:szCs w:val="26"/>
        </w:rPr>
        <w:t xml:space="preserve">5.1 Problemática de Odoo nativo</w:t>
      </w:r>
    </w:p>
    <w:p>
      <w:pPr>
        <w:spacing w:before="60" w:after="80"/>
      </w:pPr>
      <w:r>
        <w:rPr>
          <w:sz w:val="22"/>
          <w:szCs w:val="22"/>
        </w:rPr>
        <w:t xml:space="preserve">Odoo estándar usa siempre la fecha contable (date) del documento para determinar el tipo de cambio. Esto genera diferencias incorrectas en los siguientes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Tipo de documento</w:t>
            </w:r>
          </w:p>
        </w:tc>
        <w:tc>
          <w:tcPr>
            <w:tcW w:type="dxa" w:w="30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Fecha que SUNAT exige</w:t>
            </w:r>
          </w:p>
        </w:tc>
        <w:tc>
          <w:tcPr>
            <w:tcW w:type="dxa" w:w="3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Comportamiento nativo (incorrecto)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Factura de compra (in_invoice)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de la factura del proveedor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contable del documento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Nota de crédito de proveedor (in_refund)</w:t>
            </w:r>
          </w:p>
        </w:tc>
        <w:tc>
          <w:tcPr>
            <w:tcW w:type="dxa" w:w="30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Fecha de la factura original</w:t>
            </w:r>
          </w:p>
        </w:tc>
        <w:tc>
          <w:tcPr>
            <w:tcW w:type="dxa" w:w="3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Fecha de la nota de crédito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Nota de crédito de cliente (out_refund)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de la factura original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de la nota de crédito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Factura de venta normal (out_invoice)</w:t>
            </w:r>
          </w:p>
        </w:tc>
        <w:tc>
          <w:tcPr>
            <w:tcW w:type="dxa" w:w="30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Fecha contable (coincide con emisión)</w:t>
            </w:r>
          </w:p>
        </w:tc>
        <w:tc>
          <w:tcPr>
            <w:tcW w:type="dxa" w:w="3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Correcto</w:t>
            </w:r>
          </w:p>
        </w:tc>
      </w:tr>
    </w:tbl>
    <w:p>
      <w:pPr>
        <w:spacing w:before="0" w:after="80"/>
      </w:pPr>
    </w:p>
    <w:p>
      <w:pPr>
        <w:pStyle w:val="Heading2"/>
        <w:spacing w:before="240" w:after="80"/>
      </w:pPr>
      <w:r>
        <w:rPr>
          <w:b/>
          <w:bCs/>
          <w:color w:val="2E75B6"/>
          <w:sz w:val="26"/>
          <w:szCs w:val="26"/>
        </w:rPr>
        <w:t xml:space="preserve">5.2 Lógica implementada</w:t>
      </w:r>
    </w:p>
    <w:p>
      <w:pPr>
        <w:spacing w:before="60" w:after="80"/>
      </w:pPr>
      <w:r>
        <w:rPr>
          <w:sz w:val="22"/>
          <w:szCs w:val="22"/>
        </w:rPr>
        <w:t xml:space="preserve">El módulo calcula el campo fecha_tipo_cambio para cada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Estado del documento</w:t>
            </w:r>
          </w:p>
        </w:tc>
        <w:tc>
          <w:tcPr>
            <w:tcW w:type="dxa" w:w="59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Lógica aplicada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Confirmado (posted) / Cancelado</w:t>
            </w:r>
          </w:p>
        </w:tc>
        <w:tc>
          <w:tcPr>
            <w:tcW w:type="dxa" w:w="5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Usa la fecha contable fija del asiento (date). Una vez confirmado no varía.</w:t>
            </w:r>
          </w:p>
        </w:tc>
      </w:tr>
      <w:tr>
        <w:tc>
          <w:tcPr>
            <w:tcW w:type="dxa" w:w="3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Borrador — in_invoice</w:t>
            </w:r>
          </w:p>
        </w:tc>
        <w:tc>
          <w:tcPr>
            <w:tcW w:type="dxa" w:w="59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Usa la fecha de factura del proveedor (invoice_date).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Borrador — in_refund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Usa la fecha de factura de la entrada origen (reversed_entry_id.invoice_date).</w:t>
            </w:r>
          </w:p>
        </w:tc>
      </w:tr>
      <w:tr>
        <w:tc>
          <w:tcPr>
            <w:tcW w:type="dxa" w:w="3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Borrador — out_refund</w:t>
            </w:r>
          </w:p>
        </w:tc>
        <w:tc>
          <w:tcPr>
            <w:tcW w:type="dxa" w:w="59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Usa la fecha de factura de la entrada origen (reversed_entry_id.invoice_date).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Borrador — out_invoice apertura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Usa la fecha de factura de emisión.</w:t>
            </w:r>
          </w:p>
        </w:tc>
      </w:tr>
      <w:tr>
        <w:tc>
          <w:tcPr>
            <w:tcW w:type="dxa" w:w="3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Demás casos</w:t>
            </w:r>
          </w:p>
        </w:tc>
        <w:tc>
          <w:tcPr>
            <w:tcW w:type="dxa" w:w="59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Usa la fecha contable (date).</w:t>
            </w:r>
          </w:p>
        </w:tc>
      </w:tr>
    </w:tbl>
    <w:p>
      <w:pPr>
        <w:spacing w:before="0" w:after="80"/>
      </w:pPr>
    </w:p>
    <w:p>
      <w:pPr>
        <w:pStyle w:val="Heading2"/>
        <w:spacing w:before="240" w:after="80"/>
      </w:pPr>
      <w:r>
        <w:rPr>
          <w:b/>
          <w:bCs/>
          <w:color w:val="2E75B6"/>
          <w:sz w:val="26"/>
          <w:szCs w:val="26"/>
        </w:rPr>
        <w:t xml:space="preserve">5.3 Campo tipo_cambio_dolar_sistema</w:t>
      </w:r>
    </w:p>
    <w:p>
      <w:pPr>
        <w:spacing w:before="60" w:after="80"/>
      </w:pPr>
      <w:r>
        <w:rPr>
          <w:sz w:val="22"/>
          <w:szCs w:val="22"/>
        </w:rPr>
        <w:t xml:space="preserve">El campo informativo 'Tipo Cambio ($)' en la factura muestra el tipo de cambio del USD aplicado para la fecha de factura. Usa el tipo de cambio de venta para facturas de venta y el de compra para facturas de compra, buscando la moneda USD con el rate_type correspondiente configurado en solse_pe_rate_api.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F5A623" w:sz="12"/>
              <w:bottom w:val="single" w:color="CCCCCC" w:sz="1"/>
              <w:right w:val="single" w:color="CCCCCC" w:sz="1"/>
            </w:tcBorders>
            <w:shd w:fill="E8F0FA" w:val="clear"/>
            <w:tcMar>
              <w:top w:type="dxa" w:w="100"/>
              <w:left w:type="dxa" w:w="200"/>
              <w:bottom w:type="dxa" w:w="100"/>
              <w:right w:type="dxa" w:w="200"/>
            </w:tcMar>
          </w:tcPr>
          <w:p>
            <w:r>
              <w:rPr>
                <w:b/>
                <w:bCs/>
                <w:sz w:val="22"/>
                <w:szCs w:val="22"/>
              </w:rPr>
              <w:t xml:space="preserve">ℹ  Nota</w:t>
            </w:r>
          </w:p>
          <w:p>
            <w:r>
              <w:rPr>
                <w:sz w:val="21"/>
                <w:szCs w:val="21"/>
              </w:rPr>
              <w:t xml:space="preserve">El tipo de cambio real aplicado al convertir montos en el asiento lo gestiona Odoo usando res.currency._convert() con la fecha_tipo_cambio calculada. El campo tipo_cambio_dolar_sistema es solo informativo para el usuario.</w:t>
            </w:r>
          </w:p>
        </w:tc>
      </w:tr>
    </w:tbl>
    <w:p>
      <w:pPr>
        <w:spacing w:before="0" w:after="80"/>
      </w:pPr>
    </w:p>
    <w:p>
      <w:r>
        <w:br w:type="page"/>
      </w:r>
    </w:p>
    <w:p>
      <w:pPr>
        <w:pStyle w:val="Heading1"/>
        <w:spacing w:before="320" w:after="120"/>
      </w:pPr>
      <w:r>
        <w:rPr>
          <w:b/>
          <w:bCs/>
          <w:color w:val="1F5C99"/>
          <w:sz w:val="30"/>
          <w:szCs w:val="30"/>
        </w:rPr>
        <w:t xml:space="preserve">6. Glosa contable</w:t>
      </w:r>
    </w:p>
    <w:p>
      <w:pPr>
        <w:pStyle w:val="Heading2"/>
        <w:spacing w:before="240" w:after="80"/>
      </w:pPr>
      <w:r>
        <w:rPr>
          <w:b/>
          <w:bCs/>
          <w:color w:val="2E75B6"/>
          <w:sz w:val="26"/>
          <w:szCs w:val="26"/>
        </w:rPr>
        <w:t xml:space="preserve">6.1 Descripción</w:t>
      </w:r>
    </w:p>
    <w:p>
      <w:pPr>
        <w:spacing w:before="60" w:after="80"/>
      </w:pPr>
      <w:r>
        <w:rPr>
          <w:sz w:val="22"/>
          <w:szCs w:val="22"/>
        </w:rPr>
        <w:t xml:space="preserve">La glosa es un campo de texto libre que acompaña al asiento contable y a cada línea de movimiento. Es clave para la presentación del Libro Diario y para la trazabilidad en los libros electrónicos PLE.</w:t>
      </w:r>
    </w:p>
    <w:p>
      <w:pPr>
        <w:pStyle w:val="Heading2"/>
        <w:spacing w:before="240" w:after="80"/>
      </w:pPr>
      <w:r>
        <w:rPr>
          <w:b/>
          <w:bCs/>
          <w:color w:val="2E75B6"/>
          <w:sz w:val="26"/>
          <w:szCs w:val="26"/>
        </w:rPr>
        <w:t xml:space="preserve">6.2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Modelo</w:t>
            </w:r>
          </w:p>
        </w:tc>
        <w:tc>
          <w:tcPr>
            <w:tcW w:type="dxa" w:w="18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51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Comportamiento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account.move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glosa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Campo editable (readonly=False). Cuando el asiento proviene de un pago, se propaga automáticamente desde la glosa del pago. En facturas y asientos manuales el usuario lo edita directamente.</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account.payment</w:t>
            </w:r>
          </w:p>
        </w:tc>
        <w:tc>
          <w:tcPr>
            <w:tcW w:type="dxa" w:w="1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glosa</w:t>
            </w:r>
          </w:p>
        </w:tc>
        <w:tc>
          <w:tcPr>
            <w:tcW w:type="dxa" w:w="51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Calculado: toma la glosa de la primera factura conciliada (reconciled_invoice_ids o reconciled_bill_ids).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account.move.line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glosa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Related de move_id.glosa, almacenado. Se actualiza automáticamente cuando cambia la glosa del asiento padre.</w:t>
            </w:r>
          </w:p>
        </w:tc>
      </w:tr>
    </w:tbl>
    <w:p>
      <w:pPr>
        <w:spacing w:before="0" w:after="80"/>
      </w:pPr>
    </w:p>
    <w:p>
      <w:pPr>
        <w:pStyle w:val="Heading2"/>
        <w:spacing w:before="240" w:after="80"/>
      </w:pPr>
      <w:r>
        <w:rPr>
          <w:b/>
          <w:bCs/>
          <w:color w:val="2E75B6"/>
          <w:sz w:val="26"/>
          <w:szCs w:val="26"/>
        </w:rPr>
        <w:t xml:space="preserve">6.3 Uso recomendado</w:t>
      </w:r>
    </w:p>
    <w:p>
      <w:pPr>
        <w:pStyle w:val="ListParagraph"/>
        <w:numPr>
          <w:ilvl w:val="0"/>
          <w:numId w:val="2"/>
        </w:numPr>
        <w:spacing w:before="40" w:after="40"/>
      </w:pPr>
      <w:r>
        <w:rPr>
          <w:sz w:val="22"/>
          <w:szCs w:val="22"/>
        </w:rPr>
        <w:t xml:space="preserve">En pagos: dejar que el sistema calcule la glosa automáticamente desde la factura conciliada.</w:t>
      </w:r>
    </w:p>
    <w:p>
      <w:pPr>
        <w:pStyle w:val="ListParagraph"/>
        <w:numPr>
          <w:ilvl w:val="0"/>
          <w:numId w:val="2"/>
        </w:numPr>
        <w:spacing w:before="40" w:after="40"/>
      </w:pPr>
      <w:r>
        <w:rPr>
          <w:sz w:val="22"/>
          <w:szCs w:val="22"/>
        </w:rPr>
        <w:t xml:space="preserve">En asientos manuales de ajuste o apertura: ingresar la glosa descriptiva antes de confirmar.</w:t>
      </w:r>
    </w:p>
    <w:p>
      <w:pPr>
        <w:pStyle w:val="ListParagraph"/>
        <w:numPr>
          <w:ilvl w:val="0"/>
          <w:numId w:val="2"/>
        </w:numPr>
        <w:spacing w:before="40" w:after="40"/>
      </w:pPr>
      <w:r>
        <w:rPr>
          <w:sz w:val="22"/>
          <w:szCs w:val="22"/>
        </w:rPr>
        <w:t xml:space="preserve">Para el libro diario PLE: el módulo solse_pe_ple leerá este campo al generar los libros electrónicos.</w:t>
      </w:r>
    </w:p>
    <w:p>
      <w:pPr>
        <w:spacing w:before="0" w:after="80"/>
      </w:pPr>
    </w:p>
    <w:p>
      <w:r>
        <w:br w:type="page"/>
      </w:r>
    </w:p>
    <w:p>
      <w:pPr>
        <w:pStyle w:val="Heading1"/>
        <w:spacing w:before="320" w:after="120"/>
      </w:pPr>
      <w:r>
        <w:rPr>
          <w:b/>
          <w:bCs/>
          <w:color w:val="1F5C99"/>
          <w:sz w:val="30"/>
          <w:szCs w:val="30"/>
        </w:rPr>
        <w:t xml:space="preserve">7. Asiento de apertura</w:t>
      </w:r>
    </w:p>
    <w:p>
      <w:pPr>
        <w:pStyle w:val="Heading2"/>
        <w:spacing w:before="240" w:after="80"/>
      </w:pPr>
      <w:r>
        <w:rPr>
          <w:b/>
          <w:bCs/>
          <w:color w:val="2E75B6"/>
          <w:sz w:val="26"/>
          <w:szCs w:val="26"/>
        </w:rPr>
        <w:t xml:space="preserve">7.1 Descripción</w:t>
      </w:r>
    </w:p>
    <w:p>
      <w:pPr>
        <w:spacing w:before="60" w:after="80"/>
      </w:pPr>
      <w:r>
        <w:rPr>
          <w:sz w:val="22"/>
          <w:szCs w:val="22"/>
        </w:rPr>
        <w:t xml:space="preserve">El asiento de apertura es el primer asiento del ejercicio contable que registra los saldos iniciales. Odoo estándar lo genera automáticamente al cerrar el ejercicio, pero en la práctica peruana frecuentemente se necesita ingresarlo manualmente con una fecha específica.</w:t>
      </w:r>
    </w:p>
    <w:p>
      <w:pPr>
        <w:pStyle w:val="Heading2"/>
        <w:spacing w:before="240" w:after="80"/>
      </w:pPr>
      <w:r>
        <w:rPr>
          <w:b/>
          <w:bCs/>
          <w:color w:val="2E75B6"/>
          <w:sz w:val="26"/>
          <w:szCs w:val="26"/>
        </w:rPr>
        <w:t xml:space="preserve">7.2 Activación</w:t>
      </w:r>
    </w:p>
    <w:p>
      <w:pPr>
        <w:spacing w:before="60" w:after="80"/>
      </w:pPr>
      <w:r>
        <w:rPr>
          <w:sz w:val="22"/>
          <w:szCs w:val="22"/>
        </w:rPr>
        <w:t xml:space="preserve">En el formulario de factura o asiento contable, marcar el campo 'Movimiento por Apertura' (es_x_apertura). Al activarlo:</w:t>
      </w:r>
    </w:p>
    <w:p>
      <w:pPr>
        <w:pStyle w:val="ListParagraph"/>
        <w:numPr>
          <w:ilvl w:val="0"/>
          <w:numId w:val="2"/>
        </w:numPr>
        <w:spacing w:before="40" w:after="40"/>
      </w:pPr>
      <w:r>
        <w:rPr>
          <w:sz w:val="22"/>
          <w:szCs w:val="22"/>
        </w:rPr>
        <w:t xml:space="preserve">El campo 'Fecha Apertura' se vuelve obligatorio.</w:t>
      </w:r>
    </w:p>
    <w:p>
      <w:pPr>
        <w:pStyle w:val="ListParagraph"/>
        <w:numPr>
          <w:ilvl w:val="0"/>
          <w:numId w:val="2"/>
        </w:numPr>
        <w:spacing w:before="40" w:after="40"/>
      </w:pPr>
      <w:r>
        <w:rPr>
          <w:sz w:val="22"/>
          <w:szCs w:val="22"/>
        </w:rPr>
        <w:t xml:space="preserve">La fecha contable del asiento (date) se establece en la fecha de apertura ingresada, ignorando la fecha de la factura.</w:t>
      </w:r>
    </w:p>
    <w:p>
      <w:pPr>
        <w:pStyle w:val="ListParagraph"/>
        <w:numPr>
          <w:ilvl w:val="0"/>
          <w:numId w:val="2"/>
        </w:numPr>
        <w:spacing w:before="40" w:after="40"/>
      </w:pPr>
      <w:r>
        <w:rPr>
          <w:sz w:val="22"/>
          <w:szCs w:val="22"/>
        </w:rPr>
        <w:t xml:space="preserve">Si se desactiva el check, la fecha contable vuelve a la fecha de factura o a la fecha actual.</w:t>
      </w:r>
    </w:p>
    <w:p>
      <w:pPr>
        <w:spacing w:before="0" w:after="80"/>
      </w:pPr>
    </w:p>
    <w:p>
      <w:pPr>
        <w:pStyle w:val="Heading2"/>
        <w:spacing w:before="240" w:after="80"/>
      </w:pPr>
      <w:r>
        <w:rPr>
          <w:b/>
          <w:bCs/>
          <w:color w:val="2E75B6"/>
          <w:sz w:val="26"/>
          <w:szCs w:val="26"/>
        </w:rPr>
        <w:t xml:space="preserve">7.3 Impacto en el tipo de cambio</w:t>
      </w:r>
    </w:p>
    <w:p>
      <w:pPr>
        <w:spacing w:before="60" w:after="80"/>
      </w:pPr>
      <w:r>
        <w:rPr>
          <w:sz w:val="22"/>
          <w:szCs w:val="22"/>
        </w:rPr>
        <w:t xml:space="preserve">Para facturas de venta marcadas como apertura (</w:t>
      </w:r>
      <w:r>
        <w:rPr>
          <w:rFonts w:ascii="Courier New" w:cs="Courier New" w:eastAsia="Courier New" w:hAnsi="Courier New"/>
          <w:sz w:val="22"/>
          <w:szCs w:val="22"/>
        </w:rPr>
        <w:t xml:space="preserve">out_invoice + es_x_apertura = True</w:t>
      </w:r>
      <w:r>
        <w:rPr>
          <w:sz w:val="22"/>
          <w:szCs w:val="22"/>
        </w:rPr>
        <w:t xml:space="preserve">), fecha_tipo_cambio usa la fecha de factura en lugar de la fecha contable. Esto permite que el tipo de cambio del asiento de apertura corresponda a la fecha real del comprobante original del ejercicio anterior.</w:t>
      </w:r>
    </w:p>
    <w:p>
      <w:pPr>
        <w:spacing w:before="0" w:after="80"/>
      </w:pPr>
    </w:p>
    <w:p>
      <w:r>
        <w:br w:type="page"/>
      </w:r>
    </w:p>
    <w:p>
      <w:pPr>
        <w:pStyle w:val="Heading1"/>
        <w:spacing w:before="320" w:after="120"/>
      </w:pPr>
      <w:r>
        <w:rPr>
          <w:b/>
          <w:bCs/>
          <w:color w:val="1F5C99"/>
          <w:sz w:val="30"/>
          <w:szCs w:val="30"/>
        </w:rPr>
        <w:t xml:space="preserve">8. Número de operación bancaria</w:t>
      </w:r>
    </w:p>
    <w:p>
      <w:pPr>
        <w:pStyle w:val="Heading2"/>
        <w:spacing w:before="240" w:after="80"/>
      </w:pPr>
      <w:r>
        <w:rPr>
          <w:b/>
          <w:bCs/>
          <w:color w:val="2E75B6"/>
          <w:sz w:val="26"/>
          <w:szCs w:val="26"/>
        </w:rPr>
        <w:t xml:space="preserve">8.1 Descripción</w:t>
      </w:r>
    </w:p>
    <w:p>
      <w:pPr>
        <w:spacing w:before="60" w:after="80"/>
      </w:pPr>
      <w:r>
        <w:rPr>
          <w:sz w:val="22"/>
          <w:szCs w:val="22"/>
        </w:rPr>
        <w:t xml:space="preserve">El número de operación (transaction_number) permite registrar el código o número asignado por el banco a cada transacción de pago. Es fundamental para la conciliación bancaria y para el registro en los libros de caja y bancos PLE.</w:t>
      </w:r>
    </w:p>
    <w:p>
      <w:pPr>
        <w:pStyle w:val="Heading2"/>
        <w:spacing w:before="240" w:after="80"/>
      </w:pPr>
      <w:r>
        <w:rPr>
          <w:b/>
          <w:bCs/>
          <w:color w:val="2E75B6"/>
          <w:sz w:val="26"/>
          <w:szCs w:val="26"/>
        </w:rPr>
        <w:t xml:space="preserve">8.2 Ubicación del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Modelo</w:t>
            </w:r>
          </w:p>
        </w:tc>
        <w:tc>
          <w:tcPr>
            <w:tcW w:type="dxa" w:w="25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Vista</w:t>
            </w:r>
          </w:p>
        </w:tc>
        <w:tc>
          <w:tcPr>
            <w:tcW w:type="dxa" w:w="40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Observación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account.payment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Formulario de pago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Editable. Se ingresa al registrar el pago.</w:t>
            </w:r>
          </w:p>
        </w:tc>
      </w:tr>
      <w:tr>
        <w:tc>
          <w:tcPr>
            <w:tcW w:type="dxa" w:w="2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account.move</w:t>
            </w:r>
          </w:p>
        </w:tc>
        <w:tc>
          <w:tcPr>
            <w:tcW w:type="dxa" w:w="25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Formulario de asiento</w:t>
            </w:r>
          </w:p>
        </w:tc>
        <w:tc>
          <w:tcPr>
            <w:tcW w:type="dxa" w:w="40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Solo para asientos de tipo 'entry'. Related de origin_payment_id.transaction_number.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account.move.line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Lista de líneas de movimiento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Opcional (columna oculta por defecto). Útil para el libro diario.</w:t>
            </w:r>
          </w:p>
        </w:tc>
      </w:tr>
      <w:tr>
        <w:tc>
          <w:tcPr>
            <w:tcW w:type="dxa" w:w="2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account.bank.statement.line</w:t>
            </w:r>
          </w:p>
        </w:tc>
        <w:tc>
          <w:tcPr>
            <w:tcW w:type="dxa" w:w="25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Líneas de extracto bancario</w:t>
            </w:r>
          </w:p>
        </w:tc>
        <w:tc>
          <w:tcPr>
            <w:tcW w:type="dxa" w:w="40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Editable directamente en el extracto.</w:t>
            </w:r>
          </w:p>
        </w:tc>
      </w:tr>
    </w:tbl>
    <w:p>
      <w:pPr>
        <w:spacing w:before="0" w:after="80"/>
      </w:pPr>
    </w:p>
    <w:p>
      <w:pPr>
        <w:pStyle w:val="Heading2"/>
        <w:spacing w:before="240" w:after="80"/>
      </w:pPr>
      <w:r>
        <w:rPr>
          <w:b/>
          <w:bCs/>
          <w:color w:val="2E75B6"/>
          <w:sz w:val="26"/>
          <w:szCs w:val="26"/>
        </w:rPr>
        <w:t xml:space="preserve">8.3 Requerimiento en pagos de detracción</w:t>
      </w:r>
    </w:p>
    <w:p>
      <w:pPr>
        <w:spacing w:before="60" w:after="80"/>
      </w:pPr>
      <w:r>
        <w:rPr>
          <w:sz w:val="22"/>
          <w:szCs w:val="22"/>
        </w:rPr>
        <w:t xml:space="preserve">El campo Número de operación es obligatorio cuando se registra un pago de tipo Detracción/Retención (es_detraccion_retencion = True). Esto se enforza en la vista del wizard mediante el atributo required condicional.</w:t>
      </w:r>
    </w:p>
    <w:p>
      <w:pPr>
        <w:spacing w:before="0" w:after="80"/>
      </w:pPr>
    </w:p>
    <w:p>
      <w:r>
        <w:br w:type="page"/>
      </w:r>
    </w:p>
    <w:p>
      <w:pPr>
        <w:pStyle w:val="Heading1"/>
        <w:spacing w:before="320" w:after="120"/>
      </w:pPr>
      <w:r>
        <w:rPr>
          <w:b/>
          <w:bCs/>
          <w:color w:val="1F5C99"/>
          <w:sz w:val="30"/>
          <w:szCs w:val="30"/>
        </w:rPr>
        <w:t xml:space="preserve">9. Referencia de campos</w:t>
      </w:r>
    </w:p>
    <w:p>
      <w:pPr>
        <w:pStyle w:val="Heading2"/>
        <w:spacing w:before="240" w:after="80"/>
      </w:pPr>
      <w:r>
        <w:rPr>
          <w:b/>
          <w:bCs/>
          <w:color w:val="2E75B6"/>
          <w:sz w:val="26"/>
          <w:szCs w:val="26"/>
        </w:rPr>
        <w:t xml:space="preserve">9.1 account.move (Asiento /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14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Tipo</w:t>
            </w:r>
          </w:p>
        </w:tc>
        <w:tc>
          <w:tcPr>
            <w:tcW w:type="dxa" w:w="47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glosa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Char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Descripción libre del asiento. Editable. Auto-propagado desde pago.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pago_detraccion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Many2one</w:t>
            </w:r>
          </w:p>
        </w:tc>
        <w:tc>
          <w:tcPr>
            <w:tcW w:type="dxa" w:w="47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Enlace al pago de detracción registrado. Evita doble pago.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pago_retencion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Many2one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Enlace al pago de retención registrado. Evita doble pago.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asiento_det_ret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Many2one</w:t>
            </w:r>
          </w:p>
        </w:tc>
        <w:tc>
          <w:tcPr>
            <w:tcW w:type="dxa" w:w="47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Enlace al asiento de ajuste de detracción/retención si existe.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es_x_apertura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Marca el asiento como asiento de apertura de ejercicio.</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fecha_apertura</w:t>
            </w:r>
          </w:p>
        </w:tc>
        <w:tc>
          <w:tcPr>
            <w:tcW w:type="dxa" w:w="1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Date</w:t>
            </w:r>
          </w:p>
        </w:tc>
        <w:tc>
          <w:tcPr>
            <w:tcW w:type="dxa" w:w="47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Fecha que se usará como fecha contable cuando es_x_apertura = True.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fecha_tipo_cambio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calculada para aplicar el tipo de cambio (ver sección 5).</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tipo_cambio_dolar_sistema</w:t>
            </w:r>
          </w:p>
        </w:tc>
        <w:tc>
          <w:tcPr>
            <w:tcW w:type="dxa" w:w="1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Float(3)</w:t>
            </w:r>
          </w:p>
        </w:tc>
        <w:tc>
          <w:tcPr>
            <w:tcW w:type="dxa" w:w="47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Tipo de cambio USD informativo para la fecha de factura.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fecha_vencimiento_detraccion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Fecha de vencimiento de la detracción calculada (store=False).</w:t>
            </w:r>
          </w:p>
        </w:tc>
      </w:tr>
      <w:tr>
        <w:tc>
          <w:tcPr>
            <w:tcW w:type="dxa" w:w="32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transaction_number</w:t>
            </w:r>
          </w:p>
        </w:tc>
        <w:tc>
          <w:tcPr>
            <w:tcW w:type="dxa" w:w="14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Char</w:t>
            </w:r>
          </w:p>
        </w:tc>
        <w:tc>
          <w:tcPr>
            <w:tcW w:type="dxa" w:w="47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Related de origin_payment_id.transaction_number.</w:t>
            </w:r>
          </w:p>
        </w:tc>
      </w:tr>
    </w:tbl>
    <w:p>
      <w:pPr>
        <w:spacing w:before="0" w:after="80"/>
      </w:pPr>
    </w:p>
    <w:p>
      <w:pPr>
        <w:pStyle w:val="Heading2"/>
        <w:spacing w:before="240" w:after="80"/>
      </w:pPr>
      <w:r>
        <w:rPr>
          <w:b/>
          <w:bCs/>
          <w:color w:val="2E75B6"/>
          <w:sz w:val="26"/>
          <w:szCs w:val="26"/>
        </w:rPr>
        <w:t xml:space="preserve">9.2 res.company (Configuración de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Campo</w:t>
            </w:r>
          </w:p>
        </w:tc>
        <w:tc>
          <w:tcPr>
            <w:tcW w:type="dxa" w:w="5560"/>
            <w:tcBorders>
              <w:top w:val="single" w:color="CCCCCC" w:sz="1"/>
              <w:left w:val="single" w:color="CCCCCC" w:sz="1"/>
              <w:bottom w:val="single" w:color="CCCCCC" w:sz="1"/>
              <w:right w:val="single" w:color="CCCCCC" w:sz="1"/>
            </w:tcBorders>
            <w:shd w:fill="1F5C99" w:val="clear"/>
            <w:tcMar>
              <w:top w:type="dxa" w:w="80"/>
              <w:left w:type="dxa" w:w="160"/>
              <w:bottom w:type="dxa" w:w="80"/>
              <w:right w:type="dxa" w:w="160"/>
            </w:tcMar>
          </w:tcPr>
          <w:p>
            <w:r>
              <w:rPr>
                <w:b/>
                <w:bCs/>
                <w:color w:val="FFFFFF"/>
                <w:sz w:val="21"/>
                <w:szCs w:val="21"/>
              </w:rPr>
              <w:t xml:space="preserve">Descripción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cuenta_detracciones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de detracción para facturas de venta.</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cuenta_detracciones_compra</w:t>
            </w:r>
          </w:p>
        </w:tc>
        <w:tc>
          <w:tcPr>
            <w:tcW w:type="dxa" w:w="55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de detracción para facturas de compra.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cuenta_detrac_ganancias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para registrar ganancias por diferencia de detracción.</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cuenta_detrac_perdidas</w:t>
            </w:r>
          </w:p>
        </w:tc>
        <w:tc>
          <w:tcPr>
            <w:tcW w:type="dxa" w:w="55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para registrar pérdidas por diferencia de detracción.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cuenta_retenciones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Cuenta de retención para facturas de compra (pasivo).</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cuenta_retenciones_venta</w:t>
            </w:r>
          </w:p>
        </w:tc>
        <w:tc>
          <w:tcPr>
            <w:tcW w:type="dxa" w:w="55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Cuenta de retención para facturas de venta (activo).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Courier New" w:cs="Courier New" w:eastAsia="Courier New" w:hAnsi="Courier New"/>
                <w:sz w:val="21"/>
                <w:szCs w:val="21"/>
              </w:rPr>
              <w:t xml:space="preserve">usar_fecha_vencimiento_detraccion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sz w:val="21"/>
                <w:szCs w:val="21"/>
              </w:rPr>
              <w:t xml:space="preserve">Activa el cálculo automático de fecha de vencimiento.</w:t>
            </w:r>
          </w:p>
        </w:tc>
      </w:tr>
      <w:tr>
        <w:tc>
          <w:tcPr>
            <w:tcW w:type="dxa" w:w="380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Courier New" w:cs="Courier New" w:eastAsia="Courier New" w:hAnsi="Courier New"/>
                <w:sz w:val="21"/>
                <w:szCs w:val="21"/>
              </w:rPr>
              <w:t xml:space="preserve">dia_vencimiento_detraccion</w:t>
            </w:r>
          </w:p>
        </w:tc>
        <w:tc>
          <w:tcPr>
            <w:tcW w:type="dxa" w:w="5560"/>
            <w:tcBorders>
              <w:top w:val="single" w:color="CCCCCC" w:sz="1"/>
              <w:left w:val="single" w:color="CCCCCC" w:sz="1"/>
              <w:bottom w:val="single" w:color="CCCCCC" w:sz="1"/>
              <w:right w:val="single" w:color="CCCCCC" w:sz="1"/>
            </w:tcBorders>
            <w:shd w:fill="F4F4F4" w:val="clear"/>
            <w:tcMar>
              <w:top w:type="dxa" w:w="60"/>
              <w:left w:type="dxa" w:w="160"/>
              <w:bottom w:type="dxa" w:w="60"/>
              <w:right w:type="dxa" w:w="160"/>
            </w:tcMar>
          </w:tcPr>
          <w:p>
            <w:r>
              <w:rPr>
                <w:rFonts w:ascii="Arial" w:cs="Arial" w:eastAsia="Arial" w:hAnsi="Arial"/>
                <w:sz w:val="21"/>
                <w:szCs w:val="21"/>
              </w:rPr>
              <w:t xml:space="preserve">Día del mes siguiente para el vencimiento de detracción (1-28).</w:t>
            </w:r>
          </w:p>
        </w:tc>
      </w:tr>
    </w:tbl>
    <w:p>
      <w:pPr>
        <w:spacing w:before="0" w:after="80"/>
      </w:pPr>
    </w:p>
    <w:p>
      <w:r>
        <w:br w:type="page"/>
      </w:r>
    </w:p>
    <w:p>
      <w:pPr>
        <w:pStyle w:val="Heading1"/>
        <w:spacing w:before="320" w:after="120"/>
      </w:pPr>
      <w:r>
        <w:rPr>
          <w:b/>
          <w:bCs/>
          <w:color w:val="1F5C99"/>
          <w:sz w:val="30"/>
          <w:szCs w:val="30"/>
        </w:rPr>
        <w:t xml:space="preserve">10. Preguntas frecuentes</w:t>
      </w:r>
    </w:p>
    <w:p>
      <w:pPr>
        <w:pStyle w:val="Heading3"/>
        <w:spacing w:before="180" w:after="60"/>
      </w:pPr>
      <w:r>
        <w:rPr>
          <w:b/>
          <w:bCs/>
          <w:color w:val="333333"/>
          <w:sz w:val="23"/>
          <w:szCs w:val="23"/>
        </w:rPr>
        <w:t xml:space="preserve">¿Por qué la línea de detracción aparece con una fecha de vencimiento diferente al resto de la factura?</w:t>
      </w:r>
    </w:p>
    <w:p>
      <w:pPr>
        <w:spacing w:before="60" w:after="80"/>
      </w:pPr>
      <w:r>
        <w:rPr>
          <w:sz w:val="22"/>
          <w:szCs w:val="22"/>
        </w:rPr>
        <w:t xml:space="preserve">Si 'Gestionar fecha de vencimiento de detracción' está activo, el vencimiento de la detracción se calcula al día N del mes siguiente, que es distinto al vencimiento normal de la factura. Esto es correcto según la normativa SUNAT.</w:t>
      </w:r>
    </w:p>
    <w:p>
      <w:pPr>
        <w:spacing w:before="0" w:after="80"/>
      </w:pPr>
    </w:p>
    <w:p>
      <w:pPr>
        <w:pStyle w:val="Heading3"/>
        <w:spacing w:before="180" w:after="60"/>
      </w:pPr>
      <w:r>
        <w:rPr>
          <w:b/>
          <w:bCs/>
          <w:color w:val="333333"/>
          <w:sz w:val="23"/>
          <w:szCs w:val="23"/>
        </w:rPr>
        <w:t xml:space="preserve">¿Puedo tener detracción y retención en la misma factura?</w:t>
      </w:r>
    </w:p>
    <w:p>
      <w:pPr>
        <w:spacing w:before="60" w:after="80"/>
      </w:pPr>
      <w:r>
        <w:rPr>
          <w:sz w:val="22"/>
          <w:szCs w:val="22"/>
        </w:rPr>
        <w:t xml:space="preserve">Normativamente no: una operación sujeta a detracción está excluida del régimen de retenciones. El módulo no bloquea técnicamente esta combinación todavía, pero se recomienda no configurarla. Una validación explícita está planificada para versiones futuras.</w:t>
      </w:r>
    </w:p>
    <w:p>
      <w:pPr>
        <w:spacing w:before="0" w:after="80"/>
      </w:pPr>
    </w:p>
    <w:p>
      <w:pPr>
        <w:pStyle w:val="Heading3"/>
        <w:spacing w:before="180" w:after="60"/>
      </w:pPr>
      <w:r>
        <w:rPr>
          <w:b/>
          <w:bCs/>
          <w:color w:val="333333"/>
          <w:sz w:val="23"/>
          <w:szCs w:val="23"/>
        </w:rPr>
        <w:t xml:space="preserve">¿Qué pasa si la detracción tiene diferencia de cambio?</w:t>
      </w:r>
    </w:p>
    <w:p>
      <w:pPr>
        <w:spacing w:before="60" w:after="80"/>
      </w:pPr>
      <w:r>
        <w:rPr>
          <w:sz w:val="22"/>
          <w:szCs w:val="22"/>
        </w:rPr>
        <w:t xml:space="preserve">Al registrar el pago de la detracción, si el monto pagado difiere del calculado (por diferencia de tipo de cambio o redondeo), el sistema detecta la diferencia y la registra automáticamente en las cuentas de ganancias o pérdidas configuradas en ajustes. También es posible manejarla manualmente marcando 'Reconcile' y seleccionando la cuenta.</w:t>
      </w:r>
    </w:p>
    <w:p>
      <w:pPr>
        <w:spacing w:before="0" w:after="80"/>
      </w:pPr>
    </w:p>
    <w:p>
      <w:pPr>
        <w:pStyle w:val="Heading3"/>
        <w:spacing w:before="180" w:after="60"/>
      </w:pPr>
      <w:r>
        <w:rPr>
          <w:b/>
          <w:bCs/>
          <w:color w:val="333333"/>
          <w:sz w:val="23"/>
          <w:szCs w:val="23"/>
        </w:rPr>
        <w:t xml:space="preserve">¿Por qué el wizard muestra el check 'Es por Detracción/Retención' para algunas facturas y para otras no?</w:t>
      </w:r>
    </w:p>
    <w:p>
      <w:pPr>
        <w:spacing w:before="60" w:after="80"/>
      </w:pPr>
      <w:r>
        <w:rPr>
          <w:sz w:val="22"/>
          <w:szCs w:val="22"/>
        </w:rPr>
        <w:t xml:space="preserve">El check solo aparece (campo mostrar_check = True) cuando al menos una de las facturas seleccionadas tiene detracción o retención activa Y aún no tiene un pago de detracción registrado (pago_detraccion vacío). Si todas las facturas ya tienen detracción pagada, el check no se muestra.</w:t>
      </w:r>
    </w:p>
    <w:p>
      <w:pPr>
        <w:spacing w:before="0" w:after="80"/>
      </w:pPr>
    </w:p>
    <w:p>
      <w:pPr>
        <w:pStyle w:val="Heading3"/>
        <w:spacing w:before="180" w:after="60"/>
      </w:pPr>
      <w:r>
        <w:rPr>
          <w:b/>
          <w:bCs/>
          <w:color w:val="333333"/>
          <w:sz w:val="23"/>
          <w:szCs w:val="23"/>
        </w:rPr>
        <w:t xml:space="preserve">¿Cómo se maneja el tipo de cambio en una nota de crédito en USD?</w:t>
      </w:r>
    </w:p>
    <w:p>
      <w:pPr>
        <w:spacing w:before="60" w:after="80"/>
      </w:pPr>
      <w:r>
        <w:rPr>
          <w:sz w:val="22"/>
          <w:szCs w:val="22"/>
        </w:rPr>
        <w:t xml:space="preserve">El campo fecha_tipo_cambio para in_refund y out_refund apunta a la fecha de factura de la entrada original (reversed_entry_id.invoice_date). Odoo usará esa fecha al llamar a currency._convert(), garantizando que la nota de crédito use el mismo tipo de cambio que la factura que revierte.</w:t>
      </w:r>
    </w:p>
    <w:p>
      <w:pPr>
        <w:spacing w:before="0" w:after="80"/>
      </w:pPr>
    </w:p>
    <w:p>
      <w:pPr>
        <w:pStyle w:val="Heading3"/>
        <w:spacing w:before="180" w:after="60"/>
      </w:pPr>
      <w:r>
        <w:rPr>
          <w:b/>
          <w:bCs/>
          <w:color w:val="333333"/>
          <w:sz w:val="23"/>
          <w:szCs w:val="23"/>
        </w:rPr>
        <w:t xml:space="preserve">¿El módulo genera el Comprobante de Retención electrónico?</w:t>
      </w:r>
    </w:p>
    <w:p>
      <w:pPr>
        <w:spacing w:before="60" w:after="80"/>
      </w:pPr>
      <w:r>
        <w:rPr>
          <w:sz w:val="22"/>
          <w:szCs w:val="22"/>
        </w:rPr>
        <w:t xml:space="preserve">No. La generación del Comprobante de Retención (XML SUNAT) es responsabilidad del módulo de facturación electrónica (solse_pe_cpe). Este módulo solse_pe_accountant solo gestiona el asiento contable y el registro del pago.</w:t>
      </w:r>
    </w:p>
    <w:p>
      <w:pPr>
        <w:spacing w:before="0" w:after="80"/>
      </w:pP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before="80"/>
    </w:pPr>
    <w:r>
      <w:rPr>
        <w:color w:val="888888"/>
        <w:sz w:val="18"/>
        <w:szCs w:val="18"/>
      </w:rPr>
      <w:t xml:space="preserve">F&amp;M Solutions Service S.A.C</w:t>
    </w:r>
    <w:r>
      <w:rPr>
        <w:color w:val="888888"/>
        <w:sz w:val="18"/>
        <w:szCs w:val="18"/>
      </w:rPr>
      <w:t xml:space="preserve">	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tabs>
        <w:tab w:val="right" w:pos="9360"/>
      </w:tabs>
      <w:spacing w:after="80"/>
    </w:pPr>
    <w:r>
      <w:rPr>
        <w:b/>
        <w:bCs/>
        <w:color w:val="1F5C99"/>
        <w:sz w:val="18"/>
        <w:szCs w:val="18"/>
      </w:rPr>
      <w:t xml:space="preserve">solse_pe_accountant — Manual de Configuración y Uso</w:t>
    </w:r>
    <w:r>
      <w:rPr>
        <w:color w:val="888888"/>
        <w:sz w:val="18"/>
        <w:szCs w:val="18"/>
      </w:rPr>
      <w:t xml:space="preserve">	v19.0.0.1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F0FA" w:sz="4" w:space="1"/>
      </w:pBdr>
      <w:spacing w:before="320" w:after="120"/>
      <w:outlineLvl w:val="0"/>
    </w:pPr>
    <w:rPr>
      <w:rFonts w:ascii="Arial" w:cs="Arial" w:eastAsia="Arial" w:hAnsi="Arial"/>
      <w:b/>
      <w:bCs/>
      <w:color w:val="1F5C9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2026-03-07T17:25:24.028Z</dcterms:created>
  <dcterms:modified xsi:type="dcterms:W3CDTF">2026-03-07T17:25:24.029Z</dcterms:modified>
</cp:coreProperties>
</file>

<file path=docProps/custom.xml><?xml version="1.0" encoding="utf-8"?>
<Properties xmlns="http://schemas.openxmlformats.org/officeDocument/2006/custom-properties" xmlns:vt="http://schemas.openxmlformats.org/officeDocument/2006/docPropsVTypes"/>
</file>