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jc w:val="center"/>
      </w:pPr>
      <w:r>
        <w:rPr>
          <w:rFonts w:ascii="Arial" w:cs="Arial" w:eastAsia="Arial" w:hAnsi="Arial"/>
          <w:b/>
          <w:bCs/>
          <w:color w:val="1F4E79"/>
          <w:sz w:val="52"/>
          <w:szCs w:val="52"/>
        </w:rPr>
        <w:t xml:space="preserve">SOLSE</w:t>
      </w:r>
    </w:p>
    <w:p>
      <w:pPr>
        <w:spacing w:before="120" w:after="0"/>
        <w:jc w:val="center"/>
      </w:pPr>
      <w:r>
        <w:rPr>
          <w:rFonts w:ascii="Arial" w:cs="Arial" w:eastAsia="Arial" w:hAnsi="Arial"/>
          <w:color w:val="666666"/>
          <w:sz w:val="26"/>
          <w:szCs w:val="26"/>
        </w:rPr>
        <w:t xml:space="preserve">F &amp; M Solutions Service S.A.C</w:t>
      </w:r>
    </w:p>
    <w:p>
      <w:pPr>
        <w:spacing w:before="0" w:after="120"/>
      </w:pPr>
      <w:r>
        <w:t xml:space="preserve"/>
      </w:r>
    </w:p>
    <w:p>
      <w:pPr>
        <w:spacing w:before="480" w:after="0"/>
        <w:jc w:val="center"/>
      </w:pPr>
      <w:r>
        <w:rPr>
          <w:rFonts w:ascii="Arial" w:cs="Arial" w:eastAsia="Arial" w:hAnsi="Arial"/>
          <w:b/>
          <w:bCs/>
          <w:color w:val="2E75B6"/>
          <w:sz w:val="40"/>
          <w:szCs w:val="40"/>
        </w:rPr>
        <w:t xml:space="preserve">Manual de Configuración</w:t>
      </w:r>
    </w:p>
    <w:p>
      <w:pPr>
        <w:spacing w:before="120" w:after="0"/>
        <w:jc w:val="center"/>
      </w:pPr>
      <w:r>
        <w:rPr>
          <w:rFonts w:ascii="Arial" w:cs="Arial" w:eastAsia="Arial" w:hAnsi="Arial"/>
          <w:b/>
          <w:bCs/>
          <w:color w:val="2E75B6"/>
          <w:sz w:val="32"/>
          <w:szCs w:val="32"/>
        </w:rPr>
        <w:t xml:space="preserve">Tabla 34 — Rubros de Estados Financieros</w:t>
      </w:r>
    </w:p>
    <w:p>
      <w:pPr>
        <w:spacing w:before="120" w:after="0"/>
        <w:jc w:val="center"/>
      </w:pPr>
      <w:r>
        <w:rPr>
          <w:rFonts w:ascii="Arial" w:cs="Arial" w:eastAsia="Arial" w:hAnsi="Arial"/>
          <w:color w:val="444444"/>
          <w:sz w:val="24"/>
          <w:szCs w:val="24"/>
        </w:rPr>
        <w:t xml:space="preserve">PLE Libro de Inventarios y Balances (Sub-libros 3.1, 3.17–3.20, 3.24, 3.25)</w:t>
      </w:r>
    </w:p>
    <w:p>
      <w:pPr>
        <w:spacing w:before="0" w:after="120"/>
      </w:pPr>
      <w:r>
        <w:t xml:space="preserve"/>
      </w:r>
    </w:p>
    <w:p>
      <w:pPr>
        <w:spacing w:before="720" w:after="0"/>
        <w:jc w:val="center"/>
      </w:pPr>
      <w:r>
        <w:rPr>
          <w:rFonts w:ascii="Arial" w:cs="Arial" w:eastAsia="Arial" w:hAnsi="Arial"/>
          <w:color w:val="888888"/>
          <w:sz w:val="20"/>
          <w:szCs w:val="20"/>
        </w:rPr>
        <w:t xml:space="preserve">Módulo: solse_pe_ple_03  |  Odoo 19 Community  |  Perú</w:t>
      </w:r>
    </w:p>
    <w:p>
      <w:pPr>
        <w:spacing w:before="40" w:after="0"/>
        <w:jc w:val="center"/>
      </w:pPr>
      <w:r>
        <w:rPr>
          <w:rFonts w:ascii="Arial" w:cs="Arial" w:eastAsia="Arial" w:hAnsi="Arial"/>
          <w:color w:val="888888"/>
          <w:sz w:val="20"/>
          <w:szCs w:val="20"/>
        </w:rPr>
        <w:t xml:space="preserve">Normativa: Anexo 3, Tabla 34 — R.S. N° 361-2015/SUNAT</w:t>
      </w:r>
    </w:p>
    <w:p>
      <w:r>
        <w:br w:type="page"/>
      </w:r>
    </w:p>
    <w:p>
      <w:pPr>
        <w:pStyle w:val="Heading1"/>
        <w:spacing w:before="360" w:after="180"/>
      </w:pPr>
      <w:r>
        <w:rPr>
          <w:rFonts w:ascii="Arial" w:cs="Arial" w:eastAsia="Arial" w:hAnsi="Arial"/>
          <w:b/>
          <w:bCs/>
          <w:color w:val="1F4E79"/>
          <w:sz w:val="32"/>
          <w:szCs w:val="32"/>
        </w:rPr>
        <w:t xml:space="preserve">1. ¿Qué es la Tabla 34 y por qué se necesita?</w:t>
      </w:r>
    </w:p>
    <w:p>
      <w:pPr>
        <w:spacing w:before="80" w:after="80"/>
      </w:pPr>
      <w:r>
        <w:rPr>
          <w:rFonts w:ascii="Arial" w:cs="Arial" w:eastAsia="Arial" w:hAnsi="Arial"/>
          <w:sz w:val="22"/>
          <w:szCs w:val="22"/>
        </w:rPr>
        <w:t xml:space="preserve">El Libro de Inventarios y Balances (PLE 03) incluye siete sub-libros que contienen los Estados Financieros de la empresa: Estado de Situación Financiera (3.1), Balance de Comprobación (3.17), flujos de efectivo, estado de resultados y cambios en el patrimonio (3.18–3.20, 3.24, 3.25).</w:t>
      </w:r>
    </w:p>
    <w:p>
      <w:pPr>
        <w:spacing w:before="0" w:after="120"/>
      </w:pPr>
      <w:r>
        <w:t xml:space="preserve"/>
      </w:r>
    </w:p>
    <w:p>
      <w:pPr>
        <w:spacing w:before="80" w:after="80"/>
      </w:pPr>
      <w:r>
        <w:rPr>
          <w:rFonts w:ascii="Arial" w:cs="Arial" w:eastAsia="Arial" w:hAnsi="Arial"/>
          <w:sz w:val="22"/>
          <w:szCs w:val="22"/>
        </w:rPr>
        <w:t xml:space="preserve">Para generar estos sub-libros, SUNAT exige que cada saldo contable sea clasificado dentro de un Rubro oficial del Estado Financiero. Esos rubros están definidos en la Tabla 34 del Anexo 3 de la R.S. N° 361-2015/SUNAT.</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i/>
                <w:iCs/>
                <w:sz w:val="20"/>
                <w:szCs w:val="20"/>
              </w:rPr>
              <w:t xml:space="preserve">ℹ️  Ejemplo: La cuenta 10120101 (Caja Moneda Nacional) debe mapearse al rubro '1D0109 — Efectivo y Equivalentes al Efectivo'. SUNAT valida que el código del rubro sea correcto para el sector de la empresa.</w:t>
            </w:r>
          </w:p>
        </w:tc>
      </w:tr>
    </w:tbl>
    <w:p>
      <w:pPr>
        <w:spacing w:before="0" w:after="120"/>
      </w:pPr>
      <w:r>
        <w:t xml:space="preserve"/>
      </w:r>
    </w:p>
    <w:p>
      <w:pPr>
        <w:spacing w:before="80" w:after="80"/>
      </w:pPr>
      <w:r>
        <w:rPr>
          <w:rFonts w:ascii="Arial" w:cs="Arial" w:eastAsia="Arial" w:hAnsi="Arial"/>
          <w:sz w:val="22"/>
          <w:szCs w:val="22"/>
        </w:rPr>
        <w:t xml:space="preserve">Sin este mapeo configurado, los sub-libros 3.1, 3.17, 3.18, 3.19, 3.20, 3.24 y 3.25 se generan vacíos, lo que puede generar observaciones en una fiscalización de SUNAT.</w:t>
      </w:r>
    </w:p>
    <w:p>
      <w:pPr>
        <w:spacing w:before="0" w:after="120"/>
      </w:pPr>
      <w:r>
        <w:t xml:space="preserve"/>
      </w:r>
    </w:p>
    <w:p>
      <w:pPr>
        <w:pStyle w:val="Heading1"/>
        <w:spacing w:before="360" w:after="180"/>
      </w:pPr>
      <w:r>
        <w:rPr>
          <w:rFonts w:ascii="Arial" w:cs="Arial" w:eastAsia="Arial" w:hAnsi="Arial"/>
          <w:b/>
          <w:bCs/>
          <w:color w:val="1F4E79"/>
          <w:sz w:val="32"/>
          <w:szCs w:val="32"/>
        </w:rPr>
        <w:t xml:space="preserve">2. ¿Quién debe configurar este mapeo?</w:t>
      </w:r>
    </w:p>
    <w:p>
      <w:pPr>
        <w:pStyle w:val="Heading2"/>
        <w:pBdr>
          <w:bottom w:val="single" w:color="2E75B6" w:sz="6" w:space="1"/>
        </w:pBdr>
        <w:spacing w:before="280" w:after="140"/>
      </w:pPr>
      <w:r>
        <w:rPr>
          <w:rFonts w:ascii="Arial" w:cs="Arial" w:eastAsia="Arial" w:hAnsi="Arial"/>
          <w:b/>
          <w:bCs/>
          <w:color w:val="2E75B6"/>
          <w:sz w:val="26"/>
          <w:szCs w:val="26"/>
        </w:rPr>
        <w:t xml:space="preserve">2.1 Obligados al PLE electrónico (TXT)</w:t>
      </w:r>
    </w:p>
    <w:p>
      <w:pPr>
        <w:spacing w:before="80" w:after="80"/>
      </w:pPr>
      <w:r>
        <w:rPr>
          <w:rFonts w:ascii="Arial" w:cs="Arial" w:eastAsia="Arial" w:hAnsi="Arial"/>
          <w:sz w:val="22"/>
          <w:szCs w:val="22"/>
        </w:rPr>
        <w:t xml:space="preserve">Solo las empresas que cumplen AMBAS condiciones simultáneamente están obligadas a presentar el Libro 3 en formato electrónico (.txt) ante SUNAT:</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Condición</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Detalle</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Ser PRICO Nacional</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Designado por SUNAT mediante Resolución de Superintendencia</w:t>
            </w:r>
          </w:p>
        </w:tc>
      </w:tr>
      <w:tr>
        <w:tc>
          <w:tcPr>
            <w:tcW w:type="dxa" w:w="4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Ingresos ≥ 3,000 UIT</w:t>
            </w:r>
          </w:p>
        </w:tc>
        <w:tc>
          <w:tcPr>
            <w:tcW w:type="dxa" w:w="4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Ingresos brutos anuales iguales o superiores a 3,000 UIT en el ejercicio anterior</w:t>
            </w:r>
          </w:p>
        </w:tc>
      </w:tr>
    </w:tbl>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before="0" w:after="0"/>
            </w:pPr>
            <w:r>
              <w:rPr>
                <w:rFonts w:ascii="Arial" w:cs="Arial" w:eastAsia="Arial" w:hAnsi="Arial"/>
                <w:i w:val="false"/>
                <w:iCs w:val="false"/>
                <w:sz w:val="20"/>
                <w:szCs w:val="20"/>
              </w:rPr>
              <w:t xml:space="preserve">⚠️  Si su empresa NO es PRICO Nacional, el PLE electrónico del Libro 3 no es obligatorio. Sin embargo, puede configurar el mapeo para uso interno o auditorías.</w:t>
            </w:r>
          </w:p>
        </w:tc>
      </w:tr>
    </w:tbl>
    <w:p>
      <w:pPr>
        <w:spacing w:before="0" w:after="120"/>
      </w:pPr>
      <w:r>
        <w:t xml:space="preserve"/>
      </w:r>
    </w:p>
    <w:p>
      <w:pPr>
        <w:pStyle w:val="Heading2"/>
        <w:pBdr>
          <w:bottom w:val="single" w:color="2E75B6" w:sz="6" w:space="1"/>
        </w:pBdr>
        <w:spacing w:before="280" w:after="140"/>
      </w:pPr>
      <w:r>
        <w:rPr>
          <w:rFonts w:ascii="Arial" w:cs="Arial" w:eastAsia="Arial" w:hAnsi="Arial"/>
          <w:b/>
          <w:bCs/>
          <w:color w:val="2E75B6"/>
          <w:sz w:val="26"/>
          <w:szCs w:val="26"/>
        </w:rPr>
        <w:t xml:space="preserve">2.2 Obligados al formato físico (Excel/impreso)</w:t>
      </w:r>
    </w:p>
    <w:p>
      <w:pPr>
        <w:spacing w:before="80" w:after="80"/>
      </w:pPr>
      <w:r>
        <w:rPr>
          <w:rFonts w:ascii="Arial" w:cs="Arial" w:eastAsia="Arial" w:hAnsi="Arial"/>
          <w:sz w:val="22"/>
          <w:szCs w:val="22"/>
        </w:rPr>
        <w:t xml:space="preserve">Toda empresa con ingresos anuales superiores a 500 UIT debe llevar el Libro de Inventarios y Balances. Para estas empresas, el formato físico Excel generado por el sistema es su documento de respaldo contable obligatorio, independientemente de si presentan o no el TXT a SUNAT.</w:t>
      </w:r>
    </w:p>
    <w:p>
      <w:pPr>
        <w:spacing w:before="0" w:after="120"/>
      </w:pPr>
      <w:r>
        <w:t xml:space="preserve"/>
      </w:r>
    </w:p>
    <w:p>
      <w:pPr>
        <w:pStyle w:val="Heading2"/>
        <w:pBdr>
          <w:bottom w:val="single" w:color="2E75B6" w:sz="6" w:space="1"/>
        </w:pBdr>
        <w:spacing w:before="280" w:after="140"/>
      </w:pPr>
      <w:r>
        <w:rPr>
          <w:rFonts w:ascii="Arial" w:cs="Arial" w:eastAsia="Arial" w:hAnsi="Arial"/>
          <w:b/>
          <w:bCs/>
          <w:color w:val="2E75B6"/>
          <w:sz w:val="26"/>
          <w:szCs w:val="26"/>
        </w:rPr>
        <w:t xml:space="preserve">2.3 Sectores disponibles</w:t>
      </w:r>
    </w:p>
    <w:p>
      <w:pPr>
        <w:spacing w:before="80" w:after="80"/>
      </w:pPr>
      <w:r>
        <w:rPr>
          <w:rFonts w:ascii="Arial" w:cs="Arial" w:eastAsia="Arial" w:hAnsi="Arial"/>
          <w:sz w:val="22"/>
          <w:szCs w:val="22"/>
        </w:rPr>
        <w:t xml:space="preserve">La Tabla 34 está organizada en tres sectores según el tipo de empresa. Configure el sector correcto en Odoo antes de asignar los rubros:</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Código</w:t>
            </w:r>
          </w:p>
        </w:tc>
        <w:tc>
          <w:tcPr>
            <w:tcW w:type="dxa" w:w="306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Sector</w:t>
            </w:r>
          </w:p>
        </w:tc>
        <w:tc>
          <w:tcPr>
            <w:tcW w:type="dxa" w:w="30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Aplica a</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01</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Diversas</w:t>
            </w:r>
          </w:p>
        </w:tc>
        <w:tc>
          <w:tcPr>
            <w:tcW w:type="dxa" w:w="30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Empresas comerciales, industriales, de servicios en general (la gran mayoría)</w:t>
            </w:r>
          </w:p>
        </w:tc>
      </w:tr>
      <w:tr>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02</w:t>
            </w:r>
          </w:p>
        </w:tc>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Seguros</w:t>
            </w:r>
          </w:p>
        </w:tc>
        <w:tc>
          <w:tcPr>
            <w:tcW w:type="dxa" w:w="3068"/>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Empresas aseguradoras y reaseguradoras</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03</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Bancos y Financieras</w:t>
            </w:r>
          </w:p>
        </w:tc>
        <w:tc>
          <w:tcPr>
            <w:tcW w:type="dxa" w:w="30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Entidades bancarias, financieras, cajas municipales y rurales</w:t>
            </w:r>
          </w:p>
        </w:tc>
      </w:tr>
    </w:tbl>
    <w:p>
      <w:pPr>
        <w:spacing w:before="0" w:after="120"/>
      </w:pPr>
      <w:r>
        <w:t xml:space="preserve"/>
      </w:r>
    </w:p>
    <w:p>
      <w:r>
        <w:br w:type="page"/>
      </w:r>
    </w:p>
    <w:p>
      <w:pPr>
        <w:pStyle w:val="Heading1"/>
        <w:spacing w:before="360" w:after="180"/>
      </w:pPr>
      <w:r>
        <w:rPr>
          <w:rFonts w:ascii="Arial" w:cs="Arial" w:eastAsia="Arial" w:hAnsi="Arial"/>
          <w:b/>
          <w:bCs/>
          <w:color w:val="1F4E79"/>
          <w:sz w:val="32"/>
          <w:szCs w:val="32"/>
        </w:rPr>
        <w:t xml:space="preserve">3. Paso 1: Configurar el sector de la empresa</w:t>
      </w:r>
    </w:p>
    <w:p>
      <w:pPr>
        <w:spacing w:before="80" w:after="80"/>
      </w:pPr>
      <w:r>
        <w:rPr>
          <w:rFonts w:ascii="Arial" w:cs="Arial" w:eastAsia="Arial" w:hAnsi="Arial"/>
          <w:sz w:val="22"/>
          <w:szCs w:val="22"/>
        </w:rPr>
        <w:t xml:space="preserve">Antes de asignar rubros a las cuentas, debe indicarle al sistema a qué sector pertenece su empresa. Esto determina qué rubros de la Tabla 34 estarán disponibles.</w:t>
      </w:r>
    </w:p>
    <w:p>
      <w:pPr>
        <w:spacing w:before="0" w:after="120"/>
      </w:pPr>
      <w:r>
        <w:t xml:space="preserve"/>
      </w:r>
    </w:p>
    <w:p>
      <w:pPr>
        <w:spacing w:before="160" w:after="60"/>
      </w:pPr>
      <w:r>
        <w:rPr>
          <w:rFonts w:ascii="Arial" w:cs="Arial" w:eastAsia="Arial" w:hAnsi="Arial"/>
          <w:b/>
          <w:bCs/>
          <w:color w:val="2E75B6"/>
          <w:sz w:val="24"/>
          <w:szCs w:val="24"/>
        </w:rPr>
        <w:t xml:space="preserve">Paso 1: </w:t>
      </w:r>
      <w:r>
        <w:rPr>
          <w:rFonts w:ascii="Arial" w:cs="Arial" w:eastAsia="Arial" w:hAnsi="Arial"/>
          <w:b/>
          <w:bCs/>
          <w:sz w:val="24"/>
          <w:szCs w:val="24"/>
        </w:rPr>
        <w:t xml:space="preserve">Ir a Configuración</w:t>
      </w:r>
    </w:p>
    <w:p>
      <w:pPr>
        <w:spacing w:before="40" w:after="80"/>
        <w:ind w:left="360"/>
      </w:pPr>
      <w:r>
        <w:rPr>
          <w:rFonts w:ascii="Arial" w:cs="Arial" w:eastAsia="Arial" w:hAnsi="Arial"/>
          <w:sz w:val="22"/>
          <w:szCs w:val="22"/>
        </w:rPr>
        <w:t xml:space="preserve">En el menú superior, haga clic en Configuración → Ajustes.</w:t>
      </w:r>
    </w:p>
    <w:p>
      <w:pPr>
        <w:spacing w:before="160" w:after="60"/>
      </w:pPr>
      <w:r>
        <w:rPr>
          <w:rFonts w:ascii="Arial" w:cs="Arial" w:eastAsia="Arial" w:hAnsi="Arial"/>
          <w:b/>
          <w:bCs/>
          <w:color w:val="2E75B6"/>
          <w:sz w:val="24"/>
          <w:szCs w:val="24"/>
        </w:rPr>
        <w:t xml:space="preserve">Paso 2: </w:t>
      </w:r>
      <w:r>
        <w:rPr>
          <w:rFonts w:ascii="Arial" w:cs="Arial" w:eastAsia="Arial" w:hAnsi="Arial"/>
          <w:b/>
          <w:bCs/>
          <w:sz w:val="24"/>
          <w:szCs w:val="24"/>
        </w:rPr>
        <w:t xml:space="preserve">Buscar configuración PLE</w:t>
      </w:r>
    </w:p>
    <w:p>
      <w:pPr>
        <w:spacing w:before="40" w:after="80"/>
        <w:ind w:left="360"/>
      </w:pPr>
      <w:r>
        <w:rPr>
          <w:rFonts w:ascii="Arial" w:cs="Arial" w:eastAsia="Arial" w:hAnsi="Arial"/>
          <w:sz w:val="22"/>
          <w:szCs w:val="22"/>
        </w:rPr>
        <w:t xml:space="preserve">Dentro de los ajustes, busque la sección 'Contabilidad Peruana' o 'PLE'. Localice el campo Sector Contable (Tabla 34).</w:t>
      </w:r>
    </w:p>
    <w:p>
      <w:pPr>
        <w:spacing w:before="160" w:after="60"/>
      </w:pPr>
      <w:r>
        <w:rPr>
          <w:rFonts w:ascii="Arial" w:cs="Arial" w:eastAsia="Arial" w:hAnsi="Arial"/>
          <w:b/>
          <w:bCs/>
          <w:color w:val="2E75B6"/>
          <w:sz w:val="24"/>
          <w:szCs w:val="24"/>
        </w:rPr>
        <w:t xml:space="preserve">Paso 3: </w:t>
      </w:r>
      <w:r>
        <w:rPr>
          <w:rFonts w:ascii="Arial" w:cs="Arial" w:eastAsia="Arial" w:hAnsi="Arial"/>
          <w:b/>
          <w:bCs/>
          <w:sz w:val="24"/>
          <w:szCs w:val="24"/>
        </w:rPr>
        <w:t xml:space="preserve">Seleccionar el sector</w:t>
      </w:r>
    </w:p>
    <w:p>
      <w:pPr>
        <w:spacing w:before="40" w:after="80"/>
        <w:ind w:left="360"/>
      </w:pPr>
      <w:r>
        <w:rPr>
          <w:rFonts w:ascii="Arial" w:cs="Arial" w:eastAsia="Arial" w:hAnsi="Arial"/>
          <w:sz w:val="22"/>
          <w:szCs w:val="22"/>
        </w:rPr>
        <w:t xml:space="preserve">Elija el sector que corresponde a su empresa: Diversas (01) para la mayoría de empresas comerciales.</w:t>
      </w:r>
    </w:p>
    <w:p>
      <w:pPr>
        <w:spacing w:before="160" w:after="60"/>
      </w:pPr>
      <w:r>
        <w:rPr>
          <w:rFonts w:ascii="Arial" w:cs="Arial" w:eastAsia="Arial" w:hAnsi="Arial"/>
          <w:b/>
          <w:bCs/>
          <w:color w:val="2E75B6"/>
          <w:sz w:val="24"/>
          <w:szCs w:val="24"/>
        </w:rPr>
        <w:t xml:space="preserve">Paso 4: </w:t>
      </w:r>
      <w:r>
        <w:rPr>
          <w:rFonts w:ascii="Arial" w:cs="Arial" w:eastAsia="Arial" w:hAnsi="Arial"/>
          <w:b/>
          <w:bCs/>
          <w:sz w:val="24"/>
          <w:szCs w:val="24"/>
        </w:rPr>
        <w:t xml:space="preserve">Guardar</w:t>
      </w:r>
    </w:p>
    <w:p>
      <w:pPr>
        <w:spacing w:before="40" w:after="80"/>
        <w:ind w:left="360"/>
      </w:pPr>
      <w:r>
        <w:rPr>
          <w:rFonts w:ascii="Arial" w:cs="Arial" w:eastAsia="Arial" w:hAnsi="Arial"/>
          <w:sz w:val="22"/>
          <w:szCs w:val="22"/>
        </w:rPr>
        <w:t xml:space="preserve">Haga clic en Guardar. Este valor aplica a toda la empresa y no se cambia frecuentemente.</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before="0" w:after="0"/>
            </w:pPr>
            <w:r>
              <w:rPr>
                <w:rFonts w:ascii="Arial" w:cs="Arial" w:eastAsia="Arial" w:hAnsi="Arial"/>
                <w:i w:val="false"/>
                <w:iCs w:val="false"/>
                <w:sz w:val="20"/>
                <w:szCs w:val="20"/>
              </w:rPr>
              <w:t xml:space="preserve">✅  Para empresas comerciales (ferreterías, distribuidoras, servicios, manufactura) el sector correcto es siempre '01 - Diversas'.</w:t>
            </w:r>
          </w:p>
        </w:tc>
      </w:tr>
    </w:tbl>
    <w:p>
      <w:pPr>
        <w:spacing w:before="0" w:after="120"/>
      </w:pPr>
      <w:r>
        <w:t xml:space="preserve"/>
      </w:r>
    </w:p>
    <w:p>
      <w:r>
        <w:br w:type="page"/>
      </w:r>
    </w:p>
    <w:p>
      <w:pPr>
        <w:pStyle w:val="Heading1"/>
        <w:spacing w:before="360" w:after="180"/>
      </w:pPr>
      <w:r>
        <w:rPr>
          <w:rFonts w:ascii="Arial" w:cs="Arial" w:eastAsia="Arial" w:hAnsi="Arial"/>
          <w:b/>
          <w:bCs/>
          <w:color w:val="1F4E79"/>
          <w:sz w:val="32"/>
          <w:szCs w:val="32"/>
        </w:rPr>
        <w:t xml:space="preserve">4. Paso 2: Asignar el Rubro EEFF a cada cuenta contable</w:t>
      </w:r>
    </w:p>
    <w:p>
      <w:pPr>
        <w:pStyle w:val="Heading2"/>
        <w:pBdr>
          <w:bottom w:val="single" w:color="2E75B6" w:sz="6" w:space="1"/>
        </w:pBdr>
        <w:spacing w:before="280" w:after="140"/>
      </w:pPr>
      <w:r>
        <w:rPr>
          <w:rFonts w:ascii="Arial" w:cs="Arial" w:eastAsia="Arial" w:hAnsi="Arial"/>
          <w:b/>
          <w:bCs/>
          <w:color w:val="2E75B6"/>
          <w:sz w:val="26"/>
          <w:szCs w:val="26"/>
        </w:rPr>
        <w:t xml:space="preserve">4.1 Dónde se configura</w:t>
      </w:r>
    </w:p>
    <w:p>
      <w:pPr>
        <w:spacing w:before="80" w:after="80"/>
      </w:pPr>
      <w:r>
        <w:rPr>
          <w:rFonts w:ascii="Arial" w:cs="Arial" w:eastAsia="Arial" w:hAnsi="Arial"/>
          <w:sz w:val="22"/>
          <w:szCs w:val="22"/>
        </w:rPr>
        <w:t xml:space="preserve">El mapeo se realiza en el Plan de Cuentas de Odoo, cuenta por cuenta. Cada cuenta contable tiene un nuevo campo llamado 'Rubro EEFF (Tabla 34)'.</w:t>
      </w:r>
    </w:p>
    <w:p>
      <w:pPr>
        <w:spacing w:before="0" w:after="120"/>
      </w:pPr>
      <w:r>
        <w:t xml:space="preserve"/>
      </w:r>
    </w:p>
    <w:p>
      <w:pPr>
        <w:spacing w:before="160" w:after="60"/>
      </w:pPr>
      <w:r>
        <w:rPr>
          <w:rFonts w:ascii="Arial" w:cs="Arial" w:eastAsia="Arial" w:hAnsi="Arial"/>
          <w:b/>
          <w:bCs/>
          <w:color w:val="2E75B6"/>
          <w:sz w:val="24"/>
          <w:szCs w:val="24"/>
        </w:rPr>
        <w:t xml:space="preserve">Paso 1: </w:t>
      </w:r>
      <w:r>
        <w:rPr>
          <w:rFonts w:ascii="Arial" w:cs="Arial" w:eastAsia="Arial" w:hAnsi="Arial"/>
          <w:b/>
          <w:bCs/>
          <w:sz w:val="24"/>
          <w:szCs w:val="24"/>
        </w:rPr>
        <w:t xml:space="preserve">Ir al Plan de Cuentas</w:t>
      </w:r>
    </w:p>
    <w:p>
      <w:pPr>
        <w:spacing w:before="40" w:after="80"/>
        <w:ind w:left="360"/>
      </w:pPr>
      <w:r>
        <w:rPr>
          <w:rFonts w:ascii="Arial" w:cs="Arial" w:eastAsia="Arial" w:hAnsi="Arial"/>
          <w:sz w:val="22"/>
          <w:szCs w:val="22"/>
        </w:rPr>
        <w:t xml:space="preserve">En el menú de Contabilidad, haga clic en Configuración → Plan de Cuentas.</w:t>
      </w:r>
    </w:p>
    <w:p>
      <w:pPr>
        <w:spacing w:before="160" w:after="60"/>
      </w:pPr>
      <w:r>
        <w:rPr>
          <w:rFonts w:ascii="Arial" w:cs="Arial" w:eastAsia="Arial" w:hAnsi="Arial"/>
          <w:b/>
          <w:bCs/>
          <w:color w:val="2E75B6"/>
          <w:sz w:val="24"/>
          <w:szCs w:val="24"/>
        </w:rPr>
        <w:t xml:space="preserve">Paso 2: </w:t>
      </w:r>
      <w:r>
        <w:rPr>
          <w:rFonts w:ascii="Arial" w:cs="Arial" w:eastAsia="Arial" w:hAnsi="Arial"/>
          <w:b/>
          <w:bCs/>
          <w:sz w:val="24"/>
          <w:szCs w:val="24"/>
        </w:rPr>
        <w:t xml:space="preserve">Localizar la cuenta</w:t>
      </w:r>
    </w:p>
    <w:p>
      <w:pPr>
        <w:spacing w:before="40" w:after="80"/>
        <w:ind w:left="360"/>
      </w:pPr>
      <w:r>
        <w:rPr>
          <w:rFonts w:ascii="Arial" w:cs="Arial" w:eastAsia="Arial" w:hAnsi="Arial"/>
          <w:sz w:val="22"/>
          <w:szCs w:val="22"/>
        </w:rPr>
        <w:t xml:space="preserve">Use el buscador para encontrar la cuenta que desea configurar. También puede usar los filtros por tipo de cuenta o por prefijo de código.</w:t>
      </w:r>
    </w:p>
    <w:p>
      <w:pPr>
        <w:spacing w:before="160" w:after="60"/>
      </w:pPr>
      <w:r>
        <w:rPr>
          <w:rFonts w:ascii="Arial" w:cs="Arial" w:eastAsia="Arial" w:hAnsi="Arial"/>
          <w:b/>
          <w:bCs/>
          <w:color w:val="2E75B6"/>
          <w:sz w:val="24"/>
          <w:szCs w:val="24"/>
        </w:rPr>
        <w:t xml:space="preserve">Paso 3: </w:t>
      </w:r>
      <w:r>
        <w:rPr>
          <w:rFonts w:ascii="Arial" w:cs="Arial" w:eastAsia="Arial" w:hAnsi="Arial"/>
          <w:b/>
          <w:bCs/>
          <w:sz w:val="24"/>
          <w:szCs w:val="24"/>
        </w:rPr>
        <w:t xml:space="preserve">Abrir la cuenta</w:t>
      </w:r>
    </w:p>
    <w:p>
      <w:pPr>
        <w:spacing w:before="40" w:after="80"/>
        <w:ind w:left="360"/>
      </w:pPr>
      <w:r>
        <w:rPr>
          <w:rFonts w:ascii="Arial" w:cs="Arial" w:eastAsia="Arial" w:hAnsi="Arial"/>
          <w:sz w:val="22"/>
          <w:szCs w:val="22"/>
        </w:rPr>
        <w:t xml:space="preserve">Haga clic en la cuenta para abrir su formulario de detalle.</w:t>
      </w:r>
    </w:p>
    <w:p>
      <w:pPr>
        <w:spacing w:before="160" w:after="60"/>
      </w:pPr>
      <w:r>
        <w:rPr>
          <w:rFonts w:ascii="Arial" w:cs="Arial" w:eastAsia="Arial" w:hAnsi="Arial"/>
          <w:b/>
          <w:bCs/>
          <w:color w:val="2E75B6"/>
          <w:sz w:val="24"/>
          <w:szCs w:val="24"/>
        </w:rPr>
        <w:t xml:space="preserve">Paso 4: </w:t>
      </w:r>
      <w:r>
        <w:rPr>
          <w:rFonts w:ascii="Arial" w:cs="Arial" w:eastAsia="Arial" w:hAnsi="Arial"/>
          <w:b/>
          <w:bCs/>
          <w:sz w:val="24"/>
          <w:szCs w:val="24"/>
        </w:rPr>
        <w:t xml:space="preserve">Asignar el rubro</w:t>
      </w:r>
    </w:p>
    <w:p>
      <w:pPr>
        <w:spacing w:before="40" w:after="80"/>
        <w:ind w:left="360"/>
      </w:pPr>
      <w:r>
        <w:rPr>
          <w:rFonts w:ascii="Arial" w:cs="Arial" w:eastAsia="Arial" w:hAnsi="Arial"/>
          <w:sz w:val="22"/>
          <w:szCs w:val="22"/>
        </w:rPr>
        <w:t xml:space="preserve">Busque el campo 'Rubro EEFF (Tabla 34)'. Haga clic en el campo y escriba parte del nombre o del código del rubro para buscarlo. Seleccione el rubro correcto de la lista.</w:t>
      </w:r>
    </w:p>
    <w:p>
      <w:pPr>
        <w:spacing w:before="160" w:after="60"/>
      </w:pPr>
      <w:r>
        <w:rPr>
          <w:rFonts w:ascii="Arial" w:cs="Arial" w:eastAsia="Arial" w:hAnsi="Arial"/>
          <w:b/>
          <w:bCs/>
          <w:color w:val="2E75B6"/>
          <w:sz w:val="24"/>
          <w:szCs w:val="24"/>
        </w:rPr>
        <w:t xml:space="preserve">Paso 5: </w:t>
      </w:r>
      <w:r>
        <w:rPr>
          <w:rFonts w:ascii="Arial" w:cs="Arial" w:eastAsia="Arial" w:hAnsi="Arial"/>
          <w:b/>
          <w:bCs/>
          <w:sz w:val="24"/>
          <w:szCs w:val="24"/>
        </w:rPr>
        <w:t xml:space="preserve">Guardar</w:t>
      </w:r>
    </w:p>
    <w:p>
      <w:pPr>
        <w:spacing w:before="40" w:after="80"/>
        <w:ind w:left="360"/>
      </w:pPr>
      <w:r>
        <w:rPr>
          <w:rFonts w:ascii="Arial" w:cs="Arial" w:eastAsia="Arial" w:hAnsi="Arial"/>
          <w:sz w:val="22"/>
          <w:szCs w:val="22"/>
        </w:rPr>
        <w:t xml:space="preserve">Haga clic en Guardar. Repita este proceso para cada cuenta que necesite mapear.</w:t>
      </w:r>
    </w:p>
    <w:p>
      <w:pPr>
        <w:spacing w:before="0" w:after="120"/>
      </w:pPr>
      <w:r>
        <w:t xml:space="preserve"/>
      </w:r>
    </w:p>
    <w:p>
      <w:pPr>
        <w:pStyle w:val="Heading2"/>
        <w:pBdr>
          <w:bottom w:val="single" w:color="2E75B6" w:sz="6" w:space="1"/>
        </w:pBdr>
        <w:spacing w:before="280" w:after="140"/>
      </w:pPr>
      <w:r>
        <w:rPr>
          <w:rFonts w:ascii="Arial" w:cs="Arial" w:eastAsia="Arial" w:hAnsi="Arial"/>
          <w:b/>
          <w:bCs/>
          <w:color w:val="2E75B6"/>
          <w:sz w:val="26"/>
          <w:szCs w:val="26"/>
        </w:rPr>
        <w:t xml:space="preserve">4.2 ¿Qué cuentas debo mapear?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i/>
                <w:iCs/>
                <w:sz w:val="20"/>
                <w:szCs w:val="20"/>
              </w:rPr>
              <w:t xml:space="preserve">ℹ️  Solo deben mapearse las cuentas del nivel máximo de detalle que registran movimientos reales (las cuentas 'hoja'). Las cuentas de agrupación o totales no necesitan mapearse.</w:t>
            </w:r>
          </w:p>
        </w:tc>
      </w:tr>
    </w:tbl>
    <w:p>
      <w:pPr>
        <w:spacing w:before="0" w:after="120"/>
      </w:pPr>
      <w:r>
        <w:t xml:space="preserve"/>
      </w:r>
    </w:p>
    <w:p>
      <w:pPr>
        <w:spacing w:before="80" w:after="80"/>
      </w:pPr>
      <w:r>
        <w:rPr>
          <w:rFonts w:ascii="Arial" w:cs="Arial" w:eastAsia="Arial" w:hAnsi="Arial"/>
          <w:sz w:val="22"/>
          <w:szCs w:val="22"/>
        </w:rPr>
        <w:t xml:space="preserve">La siguiente tabla muestra los grupos de cuentas que corresponden a cada sub-libro y los rubros más comunes:</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rPr>
          <w:tblHeader/>
        </w:trPr>
        <w:tc>
          <w:tcPr>
            <w:tcW w:type="dxa" w:w="306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Sub-libro</w:t>
            </w:r>
          </w:p>
        </w:tc>
        <w:tc>
          <w:tcPr>
            <w:tcW w:type="dxa" w:w="306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Cuentas a mapear</w:t>
            </w:r>
          </w:p>
        </w:tc>
        <w:tc>
          <w:tcPr>
            <w:tcW w:type="dxa" w:w="30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Descripción</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3.1 Estado de Situación Financiera</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Todas las del balance (1x, 2x, 3x, 4x, 5x)</w:t>
            </w:r>
          </w:p>
        </w:tc>
        <w:tc>
          <w:tcPr>
            <w:tcW w:type="dxa" w:w="30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Activos, Pasivos y Patrimonio al cierre del ejercicio</w:t>
            </w:r>
          </w:p>
        </w:tc>
      </w:tr>
      <w:tr>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3.17 Balance de Comprobación</w:t>
            </w:r>
          </w:p>
        </w:tc>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Todas las cuentas con movimiento</w:t>
            </w:r>
          </w:p>
        </w:tc>
        <w:tc>
          <w:tcPr>
            <w:tcW w:type="dxa" w:w="3068"/>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Saldos iniciales, movimientos y saldos finales</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3.18 Flujos de Efectivo (Directo)</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de tesorería y operativas</w:t>
            </w:r>
          </w:p>
        </w:tc>
        <w:tc>
          <w:tcPr>
            <w:tcW w:type="dxa" w:w="30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Movimientos de efectivo por actividades</w:t>
            </w:r>
          </w:p>
        </w:tc>
      </w:tr>
      <w:tr>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3.19 Cambios en Patrimonio</w:t>
            </w:r>
          </w:p>
        </w:tc>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50-59</w:t>
            </w:r>
          </w:p>
        </w:tc>
        <w:tc>
          <w:tcPr>
            <w:tcW w:type="dxa" w:w="3068"/>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Variaciones del patrimonio neto en el ejercicio</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3.20 Estado de Resultados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6x y 7x</w:t>
            </w:r>
          </w:p>
        </w:tc>
        <w:tc>
          <w:tcPr>
            <w:tcW w:type="dxa" w:w="30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Ingresos, costos y gastos del ejercicio</w:t>
            </w:r>
          </w:p>
        </w:tc>
      </w:tr>
      <w:tr>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3.24 Resultado Integral</w:t>
            </w:r>
          </w:p>
        </w:tc>
        <w:tc>
          <w:tcPr>
            <w:tcW w:type="dxa" w:w="3066"/>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6x, 7x y ajustes</w:t>
            </w:r>
          </w:p>
        </w:tc>
        <w:tc>
          <w:tcPr>
            <w:tcW w:type="dxa" w:w="3068"/>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Resultado del ejercicio más otros resultados integrales</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3.25 Flujos de Efectivo (Indirecto)</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de tesorería y resultados</w:t>
            </w:r>
          </w:p>
        </w:tc>
        <w:tc>
          <w:tcPr>
            <w:tcW w:type="dxa" w:w="306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Flujos derivados del resultado neto más ajustes</w:t>
            </w:r>
          </w:p>
        </w:tc>
      </w:tr>
    </w:tbl>
    <w:p>
      <w:pPr>
        <w:spacing w:before="0" w:after="120"/>
      </w:pPr>
      <w:r>
        <w:t xml:space="preserve"/>
      </w:r>
    </w:p>
    <w:p>
      <w:pPr>
        <w:pStyle w:val="Heading2"/>
        <w:pBdr>
          <w:bottom w:val="single" w:color="2E75B6" w:sz="6" w:space="1"/>
        </w:pBdr>
        <w:spacing w:before="280" w:after="140"/>
      </w:pPr>
      <w:r>
        <w:rPr>
          <w:rFonts w:ascii="Arial" w:cs="Arial" w:eastAsia="Arial" w:hAnsi="Arial"/>
          <w:b/>
          <w:bCs/>
          <w:color w:val="2E75B6"/>
          <w:sz w:val="26"/>
          <w:szCs w:val="26"/>
        </w:rPr>
        <w:t xml:space="preserve">4.3 Ejemplos de mapeo — Sector Diversas</w:t>
      </w:r>
    </w:p>
    <w:p>
      <w:pPr>
        <w:spacing w:before="80" w:after="80"/>
      </w:pPr>
      <w:r>
        <w:rPr>
          <w:rFonts w:ascii="Arial" w:cs="Arial" w:eastAsia="Arial" w:hAnsi="Arial"/>
          <w:sz w:val="22"/>
          <w:szCs w:val="22"/>
        </w:rPr>
        <w:t xml:space="preserve">A continuación se muestran ejemplos de mapeo para las cuentas más comunes en empresas comerciales:</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Cuenta</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Nombre de la cuenta</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Rubro Tabla 34</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Descripción del rubro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101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Caja</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1D0109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Efectivo y Equivalentes al Efectivo</w:t>
            </w:r>
          </w:p>
        </w:tc>
      </w:tr>
      <w:tr>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1041</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corrientes operativas</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1D0109</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Efectivo y Equivalentes al Efectivo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1213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Facturas por cobrar emitidas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1D0103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por Cobrar Comerciales (neto)</w:t>
            </w:r>
          </w:p>
        </w:tc>
      </w:tr>
      <w:tr>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201</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Mercaderías - Terceros</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1D0106</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Inventarios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336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Equipos diversos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1D0205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Propiedades, Planta y Equipo (neto)</w:t>
            </w:r>
          </w:p>
        </w:tc>
      </w:tr>
      <w:tr>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421</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Facturas por pagar</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2D0401</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Cuentas por Pagar Comerciales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501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Capital social</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3D0101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Capital Emitido</w:t>
            </w:r>
          </w:p>
        </w:tc>
      </w:tr>
      <w:tr>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701</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Mercaderías</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4D0101</w:t>
            </w:r>
          </w:p>
        </w:tc>
        <w:tc>
          <w:tcPr>
            <w:tcW w:type="dxa" w:w="23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Ingresos de Actividades Ordinarias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691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Mercaderías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4D0201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Costo de Ventas</w:t>
            </w:r>
          </w:p>
        </w:tc>
      </w:tr>
    </w:tbl>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before="0" w:after="0"/>
            </w:pPr>
            <w:r>
              <w:rPr>
                <w:rFonts w:ascii="Arial" w:cs="Arial" w:eastAsia="Arial" w:hAnsi="Arial"/>
                <w:i w:val="false"/>
                <w:iCs w:val="false"/>
                <w:sz w:val="20"/>
                <w:szCs w:val="20"/>
              </w:rPr>
              <w:t xml:space="preserve">⚠️  Los códigos exactos de rubro pueden variar según el sector y la versión del plan contable. Siempre verifique con el Contador Público Colegiado responsable de los estados financieros.</w:t>
            </w:r>
          </w:p>
        </w:tc>
      </w:tr>
    </w:tbl>
    <w:p>
      <w:pPr>
        <w:spacing w:before="0" w:after="120"/>
      </w:pPr>
      <w:r>
        <w:t xml:space="preserve"/>
      </w:r>
    </w:p>
    <w:p>
      <w:r>
        <w:br w:type="page"/>
      </w:r>
    </w:p>
    <w:p>
      <w:pPr>
        <w:pStyle w:val="Heading1"/>
        <w:spacing w:before="360" w:after="180"/>
      </w:pPr>
      <w:r>
        <w:rPr>
          <w:rFonts w:ascii="Arial" w:cs="Arial" w:eastAsia="Arial" w:hAnsi="Arial"/>
          <w:b/>
          <w:bCs/>
          <w:color w:val="1F4E79"/>
          <w:sz w:val="32"/>
          <w:szCs w:val="32"/>
        </w:rPr>
        <w:t xml:space="preserve">5. Cómo generar los sub-libros de Estados Financieros</w:t>
      </w:r>
    </w:p>
    <w:p>
      <w:pPr>
        <w:spacing w:before="80" w:after="80"/>
      </w:pPr>
      <w:r>
        <w:rPr>
          <w:rFonts w:ascii="Arial" w:cs="Arial" w:eastAsia="Arial" w:hAnsi="Arial"/>
          <w:sz w:val="22"/>
          <w:szCs w:val="22"/>
        </w:rPr>
        <w:t xml:space="preserve">Una vez configurado el mapeo, la generación de los sub-libros sigue el mismo proceso que los demás sub-libros del Libro 3:</w:t>
      </w:r>
    </w:p>
    <w:p>
      <w:pPr>
        <w:spacing w:before="0" w:after="120"/>
      </w:pPr>
      <w:r>
        <w:t xml:space="preserve"/>
      </w:r>
    </w:p>
    <w:p>
      <w:pPr>
        <w:spacing w:before="160" w:after="60"/>
      </w:pPr>
      <w:r>
        <w:rPr>
          <w:rFonts w:ascii="Arial" w:cs="Arial" w:eastAsia="Arial" w:hAnsi="Arial"/>
          <w:b/>
          <w:bCs/>
          <w:color w:val="2E75B6"/>
          <w:sz w:val="24"/>
          <w:szCs w:val="24"/>
        </w:rPr>
        <w:t xml:space="preserve">Paso 1: </w:t>
      </w:r>
      <w:r>
        <w:rPr>
          <w:rFonts w:ascii="Arial" w:cs="Arial" w:eastAsia="Arial" w:hAnsi="Arial"/>
          <w:b/>
          <w:bCs/>
          <w:sz w:val="24"/>
          <w:szCs w:val="24"/>
        </w:rPr>
        <w:t xml:space="preserve">Ir a Libros Electrónicos (PLE)</w:t>
      </w:r>
    </w:p>
    <w:p>
      <w:pPr>
        <w:spacing w:before="40" w:after="80"/>
        <w:ind w:left="360"/>
      </w:pPr>
      <w:r>
        <w:rPr>
          <w:rFonts w:ascii="Arial" w:cs="Arial" w:eastAsia="Arial" w:hAnsi="Arial"/>
          <w:sz w:val="22"/>
          <w:szCs w:val="22"/>
        </w:rPr>
        <w:t xml:space="preserve">En el menú SUNAT, haga clic en Libros Electrónicos (PLE) → Libro Inventarios y Balances.</w:t>
      </w:r>
    </w:p>
    <w:p>
      <w:pPr>
        <w:spacing w:before="160" w:after="60"/>
      </w:pPr>
      <w:r>
        <w:rPr>
          <w:rFonts w:ascii="Arial" w:cs="Arial" w:eastAsia="Arial" w:hAnsi="Arial"/>
          <w:b/>
          <w:bCs/>
          <w:color w:val="2E75B6"/>
          <w:sz w:val="24"/>
          <w:szCs w:val="24"/>
        </w:rPr>
        <w:t xml:space="preserve">Paso 2: </w:t>
      </w:r>
      <w:r>
        <w:rPr>
          <w:rFonts w:ascii="Arial" w:cs="Arial" w:eastAsia="Arial" w:hAnsi="Arial"/>
          <w:b/>
          <w:bCs/>
          <w:sz w:val="24"/>
          <w:szCs w:val="24"/>
        </w:rPr>
        <w:t xml:space="preserve">Crear o abrir el registro</w:t>
      </w:r>
    </w:p>
    <w:p>
      <w:pPr>
        <w:spacing w:before="40" w:after="80"/>
        <w:ind w:left="360"/>
      </w:pPr>
      <w:r>
        <w:rPr>
          <w:rFonts w:ascii="Arial" w:cs="Arial" w:eastAsia="Arial" w:hAnsi="Arial"/>
          <w:sz w:val="22"/>
          <w:szCs w:val="22"/>
        </w:rPr>
        <w:t xml:space="preserve">Cree un nuevo registro o abra uno existente. Ingrese el año del ejercicio a declarar.</w:t>
      </w:r>
    </w:p>
    <w:p>
      <w:pPr>
        <w:spacing w:before="160" w:after="60"/>
      </w:pPr>
      <w:r>
        <w:rPr>
          <w:rFonts w:ascii="Arial" w:cs="Arial" w:eastAsia="Arial" w:hAnsi="Arial"/>
          <w:b/>
          <w:bCs/>
          <w:color w:val="2E75B6"/>
          <w:sz w:val="24"/>
          <w:szCs w:val="24"/>
        </w:rPr>
        <w:t xml:space="preserve">Paso 3: </w:t>
      </w:r>
      <w:r>
        <w:rPr>
          <w:rFonts w:ascii="Arial" w:cs="Arial" w:eastAsia="Arial" w:hAnsi="Arial"/>
          <w:b/>
          <w:bCs/>
          <w:sz w:val="24"/>
          <w:szCs w:val="24"/>
        </w:rPr>
        <w:t xml:space="preserve">Actualizar Datos</w:t>
      </w:r>
    </w:p>
    <w:p>
      <w:pPr>
        <w:spacing w:before="40" w:after="80"/>
        <w:ind w:left="360"/>
      </w:pPr>
      <w:r>
        <w:rPr>
          <w:rFonts w:ascii="Arial" w:cs="Arial" w:eastAsia="Arial" w:hAnsi="Arial"/>
          <w:sz w:val="22"/>
          <w:szCs w:val="22"/>
        </w:rPr>
        <w:t xml:space="preserve">Haga clic en el botón 'Actualizar Datos'. El sistema cargará todas las líneas contables del ejercicio completo (01/01 al 31/12).</w:t>
      </w:r>
    </w:p>
    <w:p>
      <w:pPr>
        <w:spacing w:before="160" w:after="60"/>
      </w:pPr>
      <w:r>
        <w:rPr>
          <w:rFonts w:ascii="Arial" w:cs="Arial" w:eastAsia="Arial" w:hAnsi="Arial"/>
          <w:b/>
          <w:bCs/>
          <w:color w:val="2E75B6"/>
          <w:sz w:val="24"/>
          <w:szCs w:val="24"/>
        </w:rPr>
        <w:t xml:space="preserve">Paso 4: </w:t>
      </w:r>
      <w:r>
        <w:rPr>
          <w:rFonts w:ascii="Arial" w:cs="Arial" w:eastAsia="Arial" w:hAnsi="Arial"/>
          <w:b/>
          <w:bCs/>
          <w:sz w:val="24"/>
          <w:szCs w:val="24"/>
        </w:rPr>
        <w:t xml:space="preserve">Generar Estructuras</w:t>
      </w:r>
    </w:p>
    <w:p>
      <w:pPr>
        <w:spacing w:before="40" w:after="80"/>
        <w:ind w:left="360"/>
      </w:pPr>
      <w:r>
        <w:rPr>
          <w:rFonts w:ascii="Arial" w:cs="Arial" w:eastAsia="Arial" w:hAnsi="Arial"/>
          <w:sz w:val="22"/>
          <w:szCs w:val="22"/>
        </w:rPr>
        <w:t xml:space="preserve">Haga clic en 'Generar Estructuras'. El sistema generará todos los sub-libros disponibles según la configuración de cuentas.</w:t>
      </w:r>
    </w:p>
    <w:p>
      <w:pPr>
        <w:spacing w:before="160" w:after="60"/>
      </w:pPr>
      <w:r>
        <w:rPr>
          <w:rFonts w:ascii="Arial" w:cs="Arial" w:eastAsia="Arial" w:hAnsi="Arial"/>
          <w:b/>
          <w:bCs/>
          <w:color w:val="2E75B6"/>
          <w:sz w:val="24"/>
          <w:szCs w:val="24"/>
        </w:rPr>
        <w:t xml:space="preserve">Paso 5: </w:t>
      </w:r>
      <w:r>
        <w:rPr>
          <w:rFonts w:ascii="Arial" w:cs="Arial" w:eastAsia="Arial" w:hAnsi="Arial"/>
          <w:b/>
          <w:bCs/>
          <w:sz w:val="24"/>
          <w:szCs w:val="24"/>
        </w:rPr>
        <w:t xml:space="preserve">Descargar los archivos</w:t>
      </w:r>
    </w:p>
    <w:p>
      <w:pPr>
        <w:spacing w:before="40" w:after="80"/>
        <w:ind w:left="360"/>
      </w:pPr>
      <w:r>
        <w:rPr>
          <w:rFonts w:ascii="Arial" w:cs="Arial" w:eastAsia="Arial" w:hAnsi="Arial"/>
          <w:sz w:val="22"/>
          <w:szCs w:val="22"/>
        </w:rPr>
        <w:t xml:space="preserve">Los archivos TXT y Excel aparecerán en la sección de archivos del formulario. Descárguelos y valídelos con el PLE de SUNAT.</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before="0" w:after="0"/>
            </w:pPr>
            <w:r>
              <w:rPr>
                <w:rFonts w:ascii="Arial" w:cs="Arial" w:eastAsia="Arial" w:hAnsi="Arial"/>
                <w:i w:val="false"/>
                <w:iCs w:val="false"/>
                <w:sz w:val="20"/>
                <w:szCs w:val="20"/>
              </w:rPr>
              <w:t xml:space="preserve">⚠️  Los sub-libros 3.1, 3.17–3.20, 3.24 y 3.25 solo generarán datos para las cuentas que tengan el campo 'Rubro EEFF (Tabla 34)' configurado. Las cuentas sin rubro asignado no aparecerán en esos sub-libros.</w:t>
            </w:r>
          </w:p>
        </w:tc>
      </w:tr>
    </w:tbl>
    <w:p>
      <w:pPr>
        <w:spacing w:before="0" w:after="120"/>
      </w:pPr>
      <w:r>
        <w:t xml:space="preserve"/>
      </w:r>
    </w:p>
    <w:p>
      <w:pPr>
        <w:pStyle w:val="Heading1"/>
        <w:spacing w:before="360" w:after="180"/>
      </w:pPr>
      <w:r>
        <w:rPr>
          <w:rFonts w:ascii="Arial" w:cs="Arial" w:eastAsia="Arial" w:hAnsi="Arial"/>
          <w:b/>
          <w:bCs/>
          <w:color w:val="1F4E79"/>
          <w:sz w:val="32"/>
          <w:szCs w:val="32"/>
        </w:rPr>
        <w:t xml:space="preserve">6. Preguntas frecuentes</w:t>
      </w:r>
    </w:p>
    <w:p>
      <w:pPr>
        <w:pStyle w:val="Heading3"/>
        <w:spacing w:before="200" w:after="100"/>
      </w:pPr>
      <w:r>
        <w:rPr>
          <w:rFonts w:ascii="Arial" w:cs="Arial" w:eastAsia="Arial" w:hAnsi="Arial"/>
          <w:b/>
          <w:bCs/>
          <w:color w:val="404040"/>
          <w:sz w:val="24"/>
          <w:szCs w:val="24"/>
        </w:rPr>
        <w:t xml:space="preserve">¿Es obligatorio mapear todas las cuentas?</w:t>
      </w:r>
    </w:p>
    <w:p>
      <w:pPr>
        <w:spacing w:before="80" w:after="80"/>
      </w:pPr>
      <w:r>
        <w:rPr>
          <w:rFonts w:ascii="Arial" w:cs="Arial" w:eastAsia="Arial" w:hAnsi="Arial"/>
          <w:sz w:val="22"/>
          <w:szCs w:val="22"/>
        </w:rPr>
        <w:t xml:space="preserve">No. Solo deben mapearse las cuentas que tengan saldo al cierre del ejercicio y que correspondan a los sub-libros de estados financieros. Las cuentas de orden (8x, 9x) y las subcuentas sin movimiento pueden dejarse sin mapear.</w:t>
      </w:r>
    </w:p>
    <w:p>
      <w:pPr>
        <w:spacing w:before="0" w:after="120"/>
      </w:pPr>
      <w:r>
        <w:t xml:space="preserve"/>
      </w:r>
    </w:p>
    <w:p>
      <w:pPr>
        <w:pStyle w:val="Heading3"/>
        <w:spacing w:before="200" w:after="100"/>
      </w:pPr>
      <w:r>
        <w:rPr>
          <w:rFonts w:ascii="Arial" w:cs="Arial" w:eastAsia="Arial" w:hAnsi="Arial"/>
          <w:b/>
          <w:bCs/>
          <w:color w:val="404040"/>
          <w:sz w:val="24"/>
          <w:szCs w:val="24"/>
        </w:rPr>
        <w:t xml:space="preserve">¿Puedo asignar el mismo rubro a varias cuentas?</w:t>
      </w:r>
    </w:p>
    <w:p>
      <w:pPr>
        <w:spacing w:before="80" w:after="80"/>
      </w:pPr>
      <w:r>
        <w:rPr>
          <w:rFonts w:ascii="Arial" w:cs="Arial" w:eastAsia="Arial" w:hAnsi="Arial"/>
          <w:sz w:val="22"/>
          <w:szCs w:val="22"/>
        </w:rPr>
        <w:t xml:space="preserve">Sí. Es común que varias cuentas de detalle apunten al mismo rubro. Por ejemplo, todas las subcuentas de caja y bancos (101x, 1041x) pueden apuntar al rubro 1D0109 (Efectivo y Equivalentes). El sistema sumará sus saldos automáticamente.</w:t>
      </w:r>
    </w:p>
    <w:p>
      <w:pPr>
        <w:spacing w:before="0" w:after="120"/>
      </w:pPr>
      <w:r>
        <w:t xml:space="preserve"/>
      </w:r>
    </w:p>
    <w:p>
      <w:pPr>
        <w:pStyle w:val="Heading3"/>
        <w:spacing w:before="200" w:after="100"/>
      </w:pPr>
      <w:r>
        <w:rPr>
          <w:rFonts w:ascii="Arial" w:cs="Arial" w:eastAsia="Arial" w:hAnsi="Arial"/>
          <w:b/>
          <w:bCs/>
          <w:color w:val="404040"/>
          <w:sz w:val="24"/>
          <w:szCs w:val="24"/>
        </w:rPr>
        <w:t xml:space="preserve">¿Qué pasa si una cuenta no tiene rubro asignado?</w:t>
      </w:r>
    </w:p>
    <w:p>
      <w:pPr>
        <w:spacing w:before="80" w:after="80"/>
      </w:pPr>
      <w:r>
        <w:rPr>
          <w:rFonts w:ascii="Arial" w:cs="Arial" w:eastAsia="Arial" w:hAnsi="Arial"/>
          <w:sz w:val="22"/>
          <w:szCs w:val="22"/>
        </w:rPr>
        <w:t xml:space="preserve">Esa cuenta no aparecerá en los sub-libros de estados financieros (3.1, 3.17–3.25). Los demás sub-libros del Libro 3 (3.2 al 3.16) no se ven afectados por este mapeo.</w:t>
      </w:r>
    </w:p>
    <w:p>
      <w:pPr>
        <w:spacing w:before="0" w:after="120"/>
      </w:pPr>
      <w:r>
        <w:t xml:space="preserve"/>
      </w:r>
    </w:p>
    <w:p>
      <w:pPr>
        <w:pStyle w:val="Heading3"/>
        <w:spacing w:before="200" w:after="100"/>
      </w:pPr>
      <w:r>
        <w:rPr>
          <w:rFonts w:ascii="Arial" w:cs="Arial" w:eastAsia="Arial" w:hAnsi="Arial"/>
          <w:b/>
          <w:bCs/>
          <w:color w:val="404040"/>
          <w:sz w:val="24"/>
          <w:szCs w:val="24"/>
        </w:rPr>
        <w:t xml:space="preserve">¿El mapeo cambia cada año?</w:t>
      </w:r>
    </w:p>
    <w:p>
      <w:pPr>
        <w:spacing w:before="80" w:after="80"/>
      </w:pPr>
      <w:r>
        <w:rPr>
          <w:rFonts w:ascii="Arial" w:cs="Arial" w:eastAsia="Arial" w:hAnsi="Arial"/>
          <w:sz w:val="22"/>
          <w:szCs w:val="22"/>
        </w:rPr>
        <w:t xml:space="preserve">Generalmente no. El mapeo se configura una sola vez y se mantiene mientras no haya cambios en el plan contable de la empresa o en la Tabla 34 de SUNAT. Si SUNAT actualiza la Tabla 34, el módulo se actualizará y se le informará oportunamente.</w:t>
      </w:r>
    </w:p>
    <w:p>
      <w:pPr>
        <w:spacing w:before="0" w:after="120"/>
      </w:pPr>
      <w:r>
        <w:t xml:space="preserve"/>
      </w:r>
    </w:p>
    <w:p>
      <w:pPr>
        <w:pStyle w:val="Heading3"/>
        <w:spacing w:before="200" w:after="100"/>
      </w:pPr>
      <w:r>
        <w:rPr>
          <w:rFonts w:ascii="Arial" w:cs="Arial" w:eastAsia="Arial" w:hAnsi="Arial"/>
          <w:b/>
          <w:bCs/>
          <w:color w:val="404040"/>
          <w:sz w:val="24"/>
          <w:szCs w:val="24"/>
        </w:rPr>
        <w:t xml:space="preserve">¿Quién debe realizar esta configuración?</w:t>
      </w:r>
    </w:p>
    <w:p>
      <w:pPr>
        <w:spacing w:before="80" w:after="80"/>
      </w:pPr>
      <w:r>
        <w:rPr>
          <w:rFonts w:ascii="Arial" w:cs="Arial" w:eastAsia="Arial" w:hAnsi="Arial"/>
          <w:sz w:val="22"/>
          <w:szCs w:val="22"/>
        </w:rPr>
        <w:t xml:space="preserve">La asignación de rubros debe ser realizada o supervisada por el Contador Público Colegiado responsable de los estados financieros de la empresa, ya que requiere criterio contable para clasificar correctamente cada cuenta dentro de la estructura de los estados financieros según NIIF.</w:t>
      </w:r>
    </w:p>
    <w:p>
      <w:pPr>
        <w:spacing w:before="0" w:after="120"/>
      </w:pPr>
      <w:r>
        <w:t xml:space="preserve"/>
      </w:r>
    </w:p>
    <w:p>
      <w:pPr>
        <w:pStyle w:val="Heading1"/>
        <w:spacing w:before="360" w:after="180"/>
      </w:pPr>
      <w:r>
        <w:rPr>
          <w:rFonts w:ascii="Arial" w:cs="Arial" w:eastAsia="Arial" w:hAnsi="Arial"/>
          <w:b/>
          <w:bCs/>
          <w:color w:val="1F4E79"/>
          <w:sz w:val="32"/>
          <w:szCs w:val="32"/>
        </w:rPr>
        <w:t xml:space="preserve">7. Soporte</w:t>
      </w:r>
    </w:p>
    <w:p>
      <w:pPr>
        <w:spacing w:before="80" w:after="80"/>
      </w:pPr>
      <w:r>
        <w:rPr>
          <w:rFonts w:ascii="Arial" w:cs="Arial" w:eastAsia="Arial" w:hAnsi="Arial"/>
          <w:sz w:val="22"/>
          <w:szCs w:val="22"/>
        </w:rPr>
        <w:t xml:space="preserve">Para consultas sobre la configuración del módulo o sobre la correcta clasificación de cuentas según la Tabla 34, contacte al equipo de SOLSE:</w:t>
      </w:r>
    </w:p>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Canal</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Contacto</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WhatsApp</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Grupo privado de soporte creado al momento de la implementación</w:t>
            </w:r>
          </w:p>
        </w:tc>
      </w:tr>
      <w:tr>
        <w:tc>
          <w:tcPr>
            <w:tcW w:type="dxa" w:w="4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Correo</w:t>
            </w:r>
          </w:p>
        </w:tc>
        <w:tc>
          <w:tcPr>
            <w:tcW w:type="dxa" w:w="4600"/>
            <w:tcBorders>
              <w:top w:val="single" w:color="CCCCCC" w:sz="1"/>
              <w:left w:val="single" w:color="CCCCCC" w:sz="1"/>
              <w:bottom w:val="single" w:color="CCCCCC" w:sz="1"/>
              <w:right w:val="single" w:color="CCCCCC" w:sz="1"/>
            </w:tcBorders>
            <w:shd w:fill="F5F9FC"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soporte@solse.pe</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Web</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before="0" w:after="0"/>
            </w:pPr>
            <w:r>
              <w:rPr>
                <w:rFonts w:ascii="Arial" w:cs="Arial" w:eastAsia="Arial" w:hAnsi="Arial"/>
                <w:sz w:val="20"/>
                <w:szCs w:val="20"/>
              </w:rPr>
              <w:t xml:space="preserve">https://empresa.solse.pe</w:t>
            </w:r>
          </w:p>
        </w:tc>
      </w:tr>
    </w:tbl>
    <w:p>
      <w:pPr>
        <w:spacing w:before="0"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i/>
                <w:iCs/>
                <w:sz w:val="20"/>
                <w:szCs w:val="20"/>
              </w:rPr>
              <w:t xml:space="preserve">ℹ️  Este manual corresponde al módulo solse_pe_ple_03 versión 19.0.0.1 para Odoo 19 Community. Última actualización: marzo 2026.</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2026-03-22T15:47:12.439Z</dcterms:created>
  <dcterms:modified xsi:type="dcterms:W3CDTF">2026-03-22T15:47:12.439Z</dcterms:modified>
</cp:coreProperties>
</file>

<file path=docProps/custom.xml><?xml version="1.0" encoding="utf-8"?>
<Properties xmlns="http://schemas.openxmlformats.org/officeDocument/2006/custom-properties" xmlns:vt="http://schemas.openxmlformats.org/officeDocument/2006/docPropsVTypes"/>
</file>