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200"/>
        <w:jc w:val="center"/>
      </w:pPr>
      <w:r>
        <w:rPr>
          <w:rFonts w:ascii="Arial" w:cs="Arial" w:eastAsia="Arial" w:hAnsi="Arial"/>
          <w:b/>
          <w:bCs/>
          <w:color w:val="1F4E79"/>
          <w:sz w:val="52"/>
          <w:szCs w:val="52"/>
        </w:rPr>
        <w:t xml:space="preserve">SUNAT — SIRE</w:t>
      </w:r>
    </w:p>
    <w:p>
      <w:pPr>
        <w:spacing w:before="0" w:after="120"/>
        <w:jc w:val="center"/>
      </w:pPr>
      <w:r>
        <w:rPr>
          <w:rFonts w:ascii="Arial" w:cs="Arial" w:eastAsia="Arial" w:hAnsi="Arial"/>
          <w:b/>
          <w:bCs/>
          <w:color w:val="2E75B6"/>
          <w:sz w:val="36"/>
          <w:szCs w:val="36"/>
        </w:rPr>
        <w:t xml:space="preserve">Guía de Tipos de Afectación en el Registro de Compras</w:t>
      </w:r>
    </w:p>
    <w:p>
      <w:pPr>
        <w:spacing w:before="0" w:after="80"/>
        <w:jc w:val="center"/>
      </w:pPr>
      <w:r>
        <w:rPr>
          <w:rFonts w:ascii="Arial" w:cs="Arial" w:eastAsia="Arial" w:hAnsi="Arial"/>
          <w:color w:val="7F7F7F"/>
          <w:sz w:val="26"/>
          <w:szCs w:val="26"/>
        </w:rPr>
        <w:t xml:space="preserve">Manual de usuario — Módulo solse_pe_purchase</w:t>
      </w:r>
    </w:p>
    <w:p>
      <w:pPr>
        <w:pBdr>
          <w:bottom w:val="single" w:color="2E75B6" w:sz="6" w:space="1"/>
        </w:pBdr>
        <w:spacing w:before="0" w:after="0"/>
      </w:pPr>
    </w:p>
    <w:p>
      <w:pPr>
        <w:spacing w:before="0" w:after="0"/>
      </w:pPr>
    </w:p>
    <w:p>
      <w:pPr>
        <w:spacing w:before="0" w:after="60"/>
        <w:jc w:val="center"/>
      </w:pPr>
      <w:r>
        <w:rPr>
          <w:rFonts w:ascii="Arial" w:cs="Arial" w:eastAsia="Arial" w:hAnsi="Arial"/>
          <w:color w:val="404040"/>
          <w:sz w:val="22"/>
          <w:szCs w:val="22"/>
        </w:rPr>
        <w:t xml:space="preserve">Módulo: solse_pe_purchase — Odoo 17</w:t>
      </w:r>
    </w:p>
    <w:p>
      <w:pPr>
        <w:spacing w:before="0" w:after="60"/>
        <w:jc w:val="center"/>
      </w:pPr>
      <w:r>
        <w:rPr>
          <w:rFonts w:ascii="Arial" w:cs="Arial" w:eastAsia="Arial" w:hAnsi="Arial"/>
          <w:color w:val="7F7F7F"/>
          <w:sz w:val="20"/>
          <w:szCs w:val="20"/>
        </w:rPr>
        <w:t xml:space="preserve">Base normativa: TUO de la LIGV (D.S. 055-99-EF) · RS 112-2021/SUNAT Anexo 1 · RS 209-2007/SUNAT</w:t>
      </w:r>
    </w:p>
    <w:p>
      <w:pPr>
        <w:spacing w:before="0" w:after="0"/>
      </w:pPr>
    </w:p>
    <w:p>
      <w:pPr>
        <w:spacing w:before="0" w:after="0"/>
      </w:pPr>
    </w:p>
    <w:p>
      <w:r>
        <w:br w:type="page"/>
      </w:r>
    </w:p>
    <w:p>
      <w:pPr>
        <w:pStyle w:val="Heading1"/>
        <w:spacing w:before="360" w:after="120"/>
      </w:pPr>
      <w:r>
        <w:rPr>
          <w:rFonts w:ascii="Arial" w:cs="Arial" w:eastAsia="Arial" w:hAnsi="Arial"/>
          <w:b/>
          <w:bCs/>
          <w:color w:val="1F4E79"/>
          <w:sz w:val="32"/>
          <w:szCs w:val="32"/>
        </w:rPr>
        <w:t xml:space="preserve">1. Contexto normativo</w:t>
      </w:r>
    </w:p>
    <w:p>
      <w:pPr>
        <w:pBdr>
          <w:bottom w:val="single" w:color="2E75B6" w:sz="6" w:space="1"/>
        </w:pBdr>
        <w:spacing w:before="0" w:after="0"/>
      </w:pPr>
    </w:p>
    <w:p>
      <w:pPr>
        <w:spacing w:before="0" w:after="0"/>
      </w:pPr>
    </w:p>
    <w:p>
      <w:pPr>
        <w:pStyle w:val="Heading2"/>
        <w:spacing w:before="280" w:after="100"/>
      </w:pPr>
      <w:r>
        <w:rPr>
          <w:rFonts w:ascii="Arial" w:cs="Arial" w:eastAsia="Arial" w:hAnsi="Arial"/>
          <w:b/>
          <w:bCs/>
          <w:color w:val="2E75B6"/>
          <w:sz w:val="26"/>
          <w:szCs w:val="26"/>
        </w:rPr>
        <w:t xml:space="preserve">1.1. ¿Qué es el Registro de Compras Electrónico (RCE)?</w:t>
      </w:r>
    </w:p>
    <w:p>
      <w:pPr>
        <w:spacing w:before="80" w:after="80"/>
        <w:jc w:val="left"/>
      </w:pPr>
      <w:r>
        <w:rPr>
          <w:rFonts w:ascii="Arial" w:cs="Arial" w:eastAsia="Arial" w:hAnsi="Arial"/>
          <w:color w:val="404040"/>
          <w:sz w:val="20"/>
          <w:szCs w:val="20"/>
        </w:rPr>
        <w:t xml:space="preserve">El Sistema Integrado de Registros Electrónicos (SIRE), implementado por SUNAT mediante la Resolución de Superintendencia N° 112-2021/SUNAT, permite a los contribuyentes del IGV llevar el Registro de Compras en formato electrónico (RCE). La estructura del archivo TXT que se genera y envía a SUNAT está definida en el Anexo 1 de dicha resolución y comprende hasta 37 columnas por cada comprobante registrado.</w:t>
      </w:r>
    </w:p>
    <w:p>
      <w:pPr>
        <w:spacing w:before="0" w:after="0"/>
      </w:pPr>
    </w:p>
    <w:p>
      <w:pPr>
        <w:spacing w:before="80" w:after="80"/>
        <w:jc w:val="left"/>
      </w:pPr>
      <w:r>
        <w:rPr>
          <w:rFonts w:ascii="Arial" w:cs="Arial" w:eastAsia="Arial" w:hAnsi="Arial"/>
          <w:b/>
          <w:bCs/>
          <w:color w:val="404040"/>
          <w:sz w:val="20"/>
          <w:szCs w:val="20"/>
        </w:rPr>
        <w:t xml:space="preserve">Las columnas 15 a 25 </w:t>
      </w:r>
      <w:r>
        <w:rPr>
          <w:rFonts w:ascii="Arial" w:cs="Arial" w:eastAsia="Arial" w:hAnsi="Arial"/>
          <w:color w:val="404040"/>
          <w:sz w:val="20"/>
          <w:szCs w:val="20"/>
        </w:rPr>
        <w:t xml:space="preserve">son las más importantes desde el punto de vista fiscal: determinan en qué categoría se clasifica cada adquisición para el cálculo del Crédito Fiscal (CF) del IGV. Una clasificación correcta permite:</w:t>
      </w:r>
    </w:p>
    <w:p>
      <w:pPr>
        <w:pStyle w:val="ListParagraph"/>
        <w:numPr>
          <w:ilvl w:val="0"/>
          <w:numId w:val="2"/>
        </w:numPr>
        <w:spacing w:before="60" w:after="60"/>
      </w:pPr>
      <w:r>
        <w:rPr>
          <w:rFonts w:ascii="Arial" w:cs="Arial" w:eastAsia="Arial" w:hAnsi="Arial"/>
          <w:b w:val="false"/>
          <w:bCs w:val="false"/>
          <w:color w:val="404040"/>
          <w:sz w:val="20"/>
          <w:szCs w:val="20"/>
        </w:rPr>
        <w:t xml:space="preserve">Aprovechar al máximo el crédito fiscal al que tiene derecho su empresa.</w:t>
      </w:r>
    </w:p>
    <w:p>
      <w:pPr>
        <w:pStyle w:val="ListParagraph"/>
        <w:numPr>
          <w:ilvl w:val="0"/>
          <w:numId w:val="2"/>
        </w:numPr>
        <w:spacing w:before="60" w:after="60"/>
      </w:pPr>
      <w:r>
        <w:rPr>
          <w:rFonts w:ascii="Arial" w:cs="Arial" w:eastAsia="Arial" w:hAnsi="Arial"/>
          <w:b w:val="false"/>
          <w:bCs w:val="false"/>
          <w:color w:val="404040"/>
          <w:sz w:val="20"/>
          <w:szCs w:val="20"/>
        </w:rPr>
        <w:t xml:space="preserve">Cumplir con la declaración del RCE conforme a la normativa vigente.</w:t>
      </w:r>
    </w:p>
    <w:p>
      <w:pPr>
        <w:pStyle w:val="ListParagraph"/>
        <w:numPr>
          <w:ilvl w:val="0"/>
          <w:numId w:val="2"/>
        </w:numPr>
        <w:spacing w:before="60" w:after="60"/>
      </w:pPr>
      <w:r>
        <w:rPr>
          <w:rFonts w:ascii="Arial" w:cs="Arial" w:eastAsia="Arial" w:hAnsi="Arial"/>
          <w:b w:val="false"/>
          <w:bCs w:val="false"/>
          <w:color w:val="404040"/>
          <w:sz w:val="20"/>
          <w:szCs w:val="20"/>
        </w:rPr>
        <w:t xml:space="preserve">Que la propuesta SIRE generada por SUNAT sea consistente con sus comprobantes electrónicos.</w:t>
      </w:r>
    </w:p>
    <w:p>
      <w:pPr>
        <w:spacing w:before="0" w:after="0"/>
      </w:pPr>
    </w:p>
    <w:p>
      <w:pPr>
        <w:pStyle w:val="Heading2"/>
        <w:spacing w:before="280" w:after="100"/>
      </w:pPr>
      <w:r>
        <w:rPr>
          <w:rFonts w:ascii="Arial" w:cs="Arial" w:eastAsia="Arial" w:hAnsi="Arial"/>
          <w:b/>
          <w:bCs/>
          <w:color w:val="2E75B6"/>
          <w:sz w:val="26"/>
          <w:szCs w:val="26"/>
        </w:rPr>
        <w:t xml:space="preserve">1.2. Base legal de la clasificación por tipo de operación</w:t>
      </w:r>
    </w:p>
    <w:p>
      <w:pPr>
        <w:spacing w:before="80" w:after="80"/>
        <w:jc w:val="left"/>
      </w:pPr>
      <w:r>
        <w:rPr>
          <w:rFonts w:ascii="Arial" w:cs="Arial" w:eastAsia="Arial" w:hAnsi="Arial"/>
          <w:color w:val="404040"/>
          <w:sz w:val="20"/>
          <w:szCs w:val="20"/>
        </w:rPr>
        <w:t xml:space="preserve">La Ley del IGV (TUO D.S. 055-99-EF) exige que los contribuyentes que realizan operaciones gravadas Y no gravadas simultáneamente deben aplicar la prorrata del crédito fiscal (Art. 23 LIGV). Esta prorrata requiere identificar con precisión en qué columna del RCE va cada adquisición: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Cols. TXT</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Tipo adquisición</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Base legal</w:t>
            </w:r>
          </w:p>
        </w:tc>
        <w:tc>
          <w:tcPr>
            <w:tcW w:type="dxa" w:w="3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Efecto en CF</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15 / 16</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Gravadas DG (exclusivas op. gravadas)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Art. 18 LIGV</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CF total deducible. No requiere prorrata.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17 / 18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Gravadas DM (mixtas)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Art. 23 LIGV + RS 209-2007</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CF sujeto a prorrata. Solo fracción deducible.</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19 / 20</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Gravadas DN (sin CF)</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Art. 18 y 44 LIGV</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IGV no deducible como CF. Costo o gasto.</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No gravadas (exo/ina)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Apéndice I LIGV / Art. 2</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Sin IGV. No afecta CF. Sí afecta denominador prorrata.</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ISC deducible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Art. 25 LIGV</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ISC como CF solo para ciertos contribuyentes del ISC.</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ICBPER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D.Leg. 1278 Art. 67</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 0.50 por bolsa plástica. No es CF del IGV.</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2. Columnas 15 a 25 — Referencia completa</w:t>
      </w:r>
    </w:p>
    <w:p>
      <w:pPr>
        <w:pBdr>
          <w:bottom w:val="single" w:color="2E75B6" w:sz="6" w:space="1"/>
        </w:pBdr>
        <w:spacing w:before="0" w:after="0"/>
      </w:pPr>
    </w:p>
    <w:p>
      <w:pPr>
        <w:spacing w:before="0" w:after="0"/>
      </w:pPr>
    </w:p>
    <w:p>
      <w:pPr>
        <w:spacing w:before="80" w:after="80"/>
        <w:jc w:val="left"/>
      </w:pPr>
      <w:r>
        <w:rPr>
          <w:rFonts w:ascii="Arial" w:cs="Arial" w:eastAsia="Arial" w:hAnsi="Arial"/>
          <w:color w:val="404040"/>
          <w:sz w:val="20"/>
          <w:szCs w:val="20"/>
        </w:rPr>
        <w:t xml:space="preserve">La siguiente tabla detalla cada columna del TXT del RCE, su descripción oficial según SUNAT, el tipo de operación que representa, el valor de Odoo que se usa para calcularla y si siempre está presente o es condicional según la afectación.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3000"/>
        <w:gridCol w:w="1800"/>
        <w:gridCol w:w="1200"/>
        <w:gridCol w:w="840"/>
      </w:tblGrid>
      <w:tr>
        <w:trPr>
          <w:tblHeader/>
        </w:trPr>
        <w:tc>
          <w:tcPr>
            <w:tcW w:type="dxa" w:w="4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Col.</w:t>
            </w:r>
          </w:p>
        </w:tc>
        <w:tc>
          <w:tcPr>
            <w:tcW w:type="dxa" w:w="21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Denominación SUNAT</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Descripción</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Tipo operación</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Valor usado</w:t>
            </w:r>
          </w:p>
        </w:tc>
        <w:tc>
          <w:tcPr>
            <w:tcW w:type="dxa" w:w="8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Siempre?</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15</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DG — Base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Base imponible adq. gravadas que dan derecho a CF/Saldo a favor, destinadas EXCLUSIVAMENTE a op. gravadas y/o exportación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exclusiva</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price_subtotal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16</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DG — IGV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IGV correspondiente a las adquisiciones de la columna 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exclusiva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17</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DM — Base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Base imponible adq. gravadas con derecho a CF, destinadas CONJUNTAMENTE a op. gravadas y no gravadas (prorrata)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mixta</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price_subtotal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18</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DM — IGV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IGV de las adquisiciones de la columna 17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mixta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19</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DN — Base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Base imponible adq. gravadas que NO dan derecho a CF ni saldo a favor (op. no gravadas exclusivas)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sin CF</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price_subtotal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DN — IGV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IGV de las adquisiciones de la columna 19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sin CF</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21</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no gravadas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Valor de adquisiciones exoneradas, inafectas o no realizadas en el país. No llevan IGV.</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Exonerada / Inafecta</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price_subtotal ó price_total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22</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ISC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Impuesto Selectivo al Consumo (solo si el sujeto puede usarlo como deducción)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con ISC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23</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ICBPER</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Impuesto al Consumo de Bolsas de Plástico (S/ 0.50 por bolsa desde 2019)</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con ICBPER</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24</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Otros tributos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Otros conceptos y tributos que no forman parte de la base imponible del IGV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Varios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Residual del loop</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25</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Importe total</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Importe total del comprobante (amount_total_signed). Siempre calculado por el sistema.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Todos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amount_total_signed</w:t>
            </w:r>
          </w:p>
        </w:tc>
        <w:tc>
          <w:tcPr>
            <w:tcW w:type="dxa" w:w="8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Sí</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La columna 25 (Importe total) la calcula el sistema automáticamente. Las columnas 15–24 se llenan según el tipo de afectación configurado en cada línea de la factura de proveedor.</w:t>
            </w:r>
          </w:p>
        </w:tc>
      </w:tr>
    </w:tbl>
    <w:p>
      <w:pPr>
        <w:spacing w:before="0" w:after="0"/>
      </w:pPr>
    </w:p>
    <w:p>
      <w:pPr>
        <w:pStyle w:val="Heading2"/>
        <w:spacing w:before="280" w:after="100"/>
      </w:pPr>
      <w:r>
        <w:rPr>
          <w:rFonts w:ascii="Arial" w:cs="Arial" w:eastAsia="Arial" w:hAnsi="Arial"/>
          <w:b/>
          <w:bCs/>
          <w:color w:val="2E75B6"/>
          <w:sz w:val="26"/>
          <w:szCs w:val="26"/>
        </w:rPr>
        <w:t xml:space="preserve">2.1. Relación entre columnas: pares base/IGV</w:t>
      </w:r>
    </w:p>
    <w:p>
      <w:pPr>
        <w:spacing w:before="80" w:after="80"/>
        <w:jc w:val="left"/>
      </w:pPr>
      <w:r>
        <w:rPr>
          <w:rFonts w:ascii="Arial" w:cs="Arial" w:eastAsia="Arial" w:hAnsi="Arial"/>
          <w:color w:val="404040"/>
          <w:sz w:val="20"/>
          <w:szCs w:val="20"/>
        </w:rPr>
        <w:t xml:space="preserve">Las columnas se agrupan en pares: la columna impar contiene la base imponible y la par siguiente contiene el IGV correspondiente. Ambas deben pertenecer al mismo tipo de operación:</w:t>
      </w:r>
    </w:p>
    <w:p>
      <w:pPr>
        <w:pStyle w:val="ListParagraph"/>
        <w:numPr>
          <w:ilvl w:val="0"/>
          <w:numId w:val="2"/>
        </w:numPr>
        <w:spacing w:before="60" w:after="60"/>
      </w:pPr>
      <w:r>
        <w:rPr>
          <w:rFonts w:ascii="Arial" w:cs="Arial" w:eastAsia="Arial" w:hAnsi="Arial"/>
          <w:b w:val="false"/>
          <w:bCs w:val="false"/>
          <w:color w:val="404040"/>
          <w:sz w:val="20"/>
          <w:szCs w:val="20"/>
        </w:rPr>
        <w:t xml:space="preserve">Cols. 15–16: DG — Destinadas exclusivamente a operaciones gravadas y/o exportación.</w:t>
      </w:r>
    </w:p>
    <w:p>
      <w:pPr>
        <w:pStyle w:val="ListParagraph"/>
        <w:numPr>
          <w:ilvl w:val="0"/>
          <w:numId w:val="2"/>
        </w:numPr>
        <w:spacing w:before="60" w:after="60"/>
      </w:pPr>
      <w:r>
        <w:rPr>
          <w:rFonts w:ascii="Arial" w:cs="Arial" w:eastAsia="Arial" w:hAnsi="Arial"/>
          <w:b w:val="false"/>
          <w:bCs w:val="false"/>
          <w:color w:val="404040"/>
          <w:sz w:val="20"/>
          <w:szCs w:val="20"/>
        </w:rPr>
        <w:t xml:space="preserve">Cols. 17–18: DM — Destinadas conjuntamente a operaciones gravadas y no gravadas (prorrata IGV Art. 23 LIGV).</w:t>
      </w:r>
    </w:p>
    <w:p>
      <w:pPr>
        <w:pStyle w:val="ListParagraph"/>
        <w:numPr>
          <w:ilvl w:val="0"/>
          <w:numId w:val="2"/>
        </w:numPr>
        <w:spacing w:before="60" w:after="60"/>
      </w:pPr>
      <w:r>
        <w:rPr>
          <w:rFonts w:ascii="Arial" w:cs="Arial" w:eastAsia="Arial" w:hAnsi="Arial"/>
          <w:b w:val="false"/>
          <w:bCs w:val="false"/>
          <w:color w:val="404040"/>
          <w:sz w:val="20"/>
          <w:szCs w:val="20"/>
        </w:rPr>
        <w:t xml:space="preserve">Cols. 19–20: DN — Destinadas exclusivamente a operaciones no gravadas. El IGV no es deducible como CF.</w:t>
      </w:r>
    </w:p>
    <w:p>
      <w:pPr>
        <w:pStyle w:val="ListParagraph"/>
        <w:numPr>
          <w:ilvl w:val="0"/>
          <w:numId w:val="2"/>
        </w:numPr>
        <w:spacing w:before="60" w:after="60"/>
      </w:pPr>
      <w:r>
        <w:rPr>
          <w:rFonts w:ascii="Arial" w:cs="Arial" w:eastAsia="Arial" w:hAnsi="Arial"/>
          <w:b w:val="false"/>
          <w:bCs w:val="false"/>
          <w:color w:val="404040"/>
          <w:sz w:val="20"/>
          <w:szCs w:val="20"/>
        </w:rPr>
        <w:t xml:space="preserve">Col. 21: Adquisiciones sin IGV (exoneradas + inafectas). No tienen columna par de IGV.</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Una misma factura puede tener líneas con distintas afectaciones. Por ejemplo, una factura con servicios gravados (cols. 15/16) y productos exonerados (col. 21) simultáneamente.</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3. Tipos de afectación disponibles</w:t>
      </w:r>
    </w:p>
    <w:p>
      <w:pPr>
        <w:pBdr>
          <w:bottom w:val="single" w:color="2E75B6" w:sz="6" w:space="1"/>
        </w:pBdr>
        <w:spacing w:before="0" w:after="0"/>
      </w:pPr>
    </w:p>
    <w:p>
      <w:pPr>
        <w:spacing w:before="0" w:after="0"/>
      </w:pPr>
    </w:p>
    <w:p>
      <w:pPr>
        <w:spacing w:before="80" w:after="80"/>
        <w:jc w:val="left"/>
      </w:pPr>
      <w:r>
        <w:rPr>
          <w:rFonts w:ascii="Arial" w:cs="Arial" w:eastAsia="Arial" w:hAnsi="Arial"/>
          <w:color w:val="404040"/>
          <w:sz w:val="20"/>
          <w:szCs w:val="20"/>
        </w:rPr>
        <w:t xml:space="preserve">El módulo solse_pe_purchase define 14 tipos de afectación que cubren todos los escenarios normativos vigentes. Cada tipo determina a qué columna(s) del TXT va el importe de cada línea de factura:</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00"/>
        <w:gridCol w:w="1200"/>
        <w:gridCol w:w="1500"/>
        <w:gridCol w:w="246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Cód.</w:t>
            </w:r>
          </w:p>
        </w:tc>
        <w:tc>
          <w:tcPr>
            <w:tcW w:type="dxa" w:w="2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Nombre afectación</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Base → col.</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IGV → col.</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Tax code SUNAT</w:t>
            </w:r>
          </w:p>
        </w:tc>
        <w:tc>
          <w:tcPr>
            <w:tcW w:type="dxa" w:w="24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Aplicación típica</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DG — Op. gravadas / exportación exclusivo</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Compra nacional con derecho a crédito fiscal pleno. Caso más frecuente.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DM — Mixtas (gravadas + no gravadas)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18</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Proveedor emite factura por bienes gravados y exonerados en la misma línea; el IGV es prorrateable.</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DN — Sin derecho a CF</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19</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20</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Adq. para actividades no gravadas (ej. operaciones financieras exoneradas). IGV no deducible.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DG servicios no domiciliados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Servicios prestados desde el exterior, IGV autoliquidado por el importador.</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14</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DE — Exportación</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9995 (EXP)</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Adquisiciones destinadas 100% a exportación. Sin IGV.</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Sin CF ni saldo a favor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Op. gravadas que por norma especial no generan CF (ej. vehículos de alta gama, Art. 44 LIGV).</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16</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Amazonía (Ley 27037)</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Empresas en zona de Amazonía que aplican IGV para crédito conforme al Art. 13 Ley 27037.</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Exportación D.Leg. 1126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Exportadores de oro y minerales. Tratamiento especial de CF.</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18</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No realizadas en el país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Reimportaciones, servicios del exterior sin IGV peruano. Valor total a col. 21.</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19</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ISC / ICBPER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22/23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2000/7152</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Combustibles, cervezas o bolsas de plástico donde el ISC/ICBPER es deducible.</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20</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Exoneradas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9997 (EXO)</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Lista del Apéndice I LIGV (alimentos básicos, medicamentos, etc.).</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Inafectas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9998 (INA)</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Operaciones fuera del ámbito del IGV (servicios al Estado, educación, etc.).</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22</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Con retención IGV</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Proveedor sujeto al régimen de retenciones (RS 037-2002/SUNAT). Mismo tratamiento col. 15/16.</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Liq. de compra sin IGV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Compra a persona natural sin RUC; el comprador emite la liquidación de compra.</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24</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Bienes Fiscales (Ley 28553)</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Adquisición por entidades del Estado con tratamiento especial de CF.</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Los tipos 10, 11 y 12 son los más usados en la práctica contable peruana. El tipo 10 (DG) aplica a la gran mayoría de compras con derecho a crédito fiscal pleno.</w:t>
            </w:r>
          </w:p>
        </w:tc>
      </w:tr>
    </w:tbl>
    <w:p>
      <w:pPr>
        <w:spacing w:before="0" w:after="0"/>
      </w:pPr>
    </w:p>
    <w:p>
      <w:pPr>
        <w:pStyle w:val="Heading2"/>
        <w:spacing w:before="280" w:after="100"/>
      </w:pPr>
      <w:r>
        <w:rPr>
          <w:rFonts w:ascii="Arial" w:cs="Arial" w:eastAsia="Arial" w:hAnsi="Arial"/>
          <w:b/>
          <w:bCs/>
          <w:color w:val="2E75B6"/>
          <w:sz w:val="26"/>
          <w:szCs w:val="26"/>
        </w:rPr>
        <w:t xml:space="preserve">3.1. Criterio para elegir el tipo de afectación correcto</w:t>
      </w:r>
    </w:p>
    <w:p>
      <w:pPr>
        <w:spacing w:before="80" w:after="80"/>
        <w:jc w:val="left"/>
      </w:pPr>
      <w:r>
        <w:rPr>
          <w:rFonts w:ascii="Arial" w:cs="Arial" w:eastAsia="Arial" w:hAnsi="Arial"/>
          <w:color w:val="404040"/>
          <w:sz w:val="20"/>
          <w:szCs w:val="20"/>
        </w:rPr>
        <w:t xml:space="preserve">La pregunta clave es: ¿A qué tipo de operaciones está destinada esta adquisición?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Destino de la adquisición</w:t>
            </w:r>
          </w:p>
        </w:tc>
        <w:tc>
          <w:tcPr>
            <w:tcW w:type="dxa" w:w="46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Tipo de afectación a usar</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100% a ventas gravadas con IGV</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10 — DG (cols. 15/16) → CF pleno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100% a exportaciones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14 — DE (col. 15) → CF/Saldo a favor</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Mixto: ventas gravadas Y exoneradas/inafectas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11 — DM (cols. 17/18) → CF con prorrata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100% a operaciones exoneradas/inafectas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12 — DN (cols. 19/20) → CF no deducible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Bienes/servicios exonerados del IGV</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20 — Exonerada (col. 21)</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Bienes/servicios inafectos al IGV</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21 — Inafecta (col. 21)</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Proveedor sujeto a retención de IGV</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22 — Retención (cols. 15/16, igual a DG)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Persona natural sin RUC (liq. de compra)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23 — Liq. de compra (col. 21, sin IGV)</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Servicios del exterior sin IGV peruano</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18 — No realizadas en el país (col. 21)</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4. Cómo funciona la asignación automática</w:t>
      </w:r>
    </w:p>
    <w:p>
      <w:pPr>
        <w:pBdr>
          <w:bottom w:val="single" w:color="2E75B6" w:sz="6" w:space="1"/>
        </w:pBdr>
        <w:spacing w:before="0" w:after="0"/>
      </w:pPr>
    </w:p>
    <w:p>
      <w:pPr>
        <w:spacing w:before="0" w:after="0"/>
      </w:pPr>
    </w:p>
    <w:p>
      <w:pPr>
        <w:pStyle w:val="Heading2"/>
        <w:spacing w:before="280" w:after="100"/>
      </w:pPr>
      <w:r>
        <w:rPr>
          <w:rFonts w:ascii="Arial" w:cs="Arial" w:eastAsia="Arial" w:hAnsi="Arial"/>
          <w:b/>
          <w:bCs/>
          <w:color w:val="2E75B6"/>
          <w:sz w:val="26"/>
          <w:szCs w:val="26"/>
        </w:rPr>
        <w:t xml:space="preserve">4.1. Instalación y configuración inicial</w:t>
      </w:r>
    </w:p>
    <w:p>
      <w:pPr>
        <w:spacing w:before="80" w:after="80"/>
        <w:jc w:val="left"/>
      </w:pPr>
      <w:r>
        <w:rPr>
          <w:rFonts w:ascii="Arial" w:cs="Arial" w:eastAsia="Arial" w:hAnsi="Arial"/>
          <w:color w:val="404040"/>
          <w:sz w:val="20"/>
          <w:szCs w:val="20"/>
        </w:rPr>
        <w:t xml:space="preserve">Al instalar el módulo, el sistema realiza automáticamente la configuración inicial: crea los 14 tipos de afectación normativos y los vincula con los impuestos de compra existentes en su plan contable. No requiere ninguna acción manual para empezar a usarlo.</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2"/>
              <w:bottom w:val="single" w:color="7D6608" w:sz="1"/>
              <w:right w:val="single" w:color="7D6608" w:sz="1"/>
            </w:tcBorders>
            <w:shd w:fill="FFF2CC" w:val="clear"/>
            <w:tcMar>
              <w:top w:type="dxa" w:w="100"/>
              <w:left w:type="dxa" w:w="160"/>
              <w:bottom w:type="dxa" w:w="100"/>
              <w:right w:type="dxa" w:w="160"/>
            </w:tcMar>
          </w:tcPr>
          <w:p>
            <w:r>
              <w:rPr>
                <w:rFonts w:ascii="Arial" w:cs="Arial" w:eastAsia="Arial" w:hAnsi="Arial"/>
                <w:color w:val="404040"/>
                <w:sz w:val="19"/>
                <w:szCs w:val="19"/>
              </w:rPr>
              <w:t xml:space="preserve">Si instala el módulo antes de configurar el plan contable Perú, ejecute el proceso "Mapear Impuestos" desde Facturación → Afectación compra → Mapear Impuestos una vez que el plan contable esté listo.</w:t>
            </w:r>
          </w:p>
        </w:tc>
      </w:tr>
    </w:tbl>
    <w:p>
      <w:pPr>
        <w:spacing w:before="0" w:after="0"/>
      </w:pPr>
    </w:p>
    <w:p>
      <w:pPr>
        <w:pStyle w:val="Heading2"/>
        <w:spacing w:before="280" w:after="100"/>
      </w:pPr>
      <w:r>
        <w:rPr>
          <w:rFonts w:ascii="Arial" w:cs="Arial" w:eastAsia="Arial" w:hAnsi="Arial"/>
          <w:b/>
          <w:bCs/>
          <w:color w:val="2E75B6"/>
          <w:sz w:val="26"/>
          <w:szCs w:val="26"/>
        </w:rPr>
        <w:t xml:space="preserve">4.2. Asignación automática en la factura de proveedor</w:t>
      </w:r>
    </w:p>
    <w:p>
      <w:pPr>
        <w:spacing w:before="80" w:after="80"/>
        <w:jc w:val="left"/>
      </w:pPr>
      <w:r>
        <w:rPr>
          <w:rFonts w:ascii="Arial" w:cs="Arial" w:eastAsia="Arial" w:hAnsi="Arial"/>
          <w:color w:val="404040"/>
          <w:sz w:val="20"/>
          <w:szCs w:val="20"/>
        </w:rPr>
        <w:t xml:space="preserve">El módulo asigna automáticamente el tipo de afectación al ingresar una factura de proveedor, sin necesidad de intervención manual en la mayoría de casos: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Acción del usuario</w:t>
            </w:r>
          </w:p>
        </w:tc>
        <w:tc>
          <w:tcPr>
            <w:tcW w:type="dxa" w:w="6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Respuesta del sistema</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Selecciona un producto en la línea</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El sistema detecta el impuesto del producto y asigna automáticamente la afectación correspondiente (ej. IGV 18% → afectación DG col. 15/16).</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Cambia el impuesto en la línea</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El sistema busca qué afectación contiene ese impuesto y actualiza el campo automáticamente.</w:t>
            </w:r>
          </w:p>
        </w:tc>
      </w:tr>
      <w:tr>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Cambia el tipo de afectación manualmente</w:t>
            </w:r>
          </w:p>
        </w:tc>
        <w:tc>
          <w:tcPr>
            <w:tcW w:type="dxa" w:w="6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Si el impuesto actual no corresponde a la nueva afectación, el sistema lo reemplaza por el impuesto por defecto de esa afectación.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Genera el TXT para SIRE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El sistema lee la afectación de cada línea y coloca los montos en las columnas 15–24 correctas del archivo.</w:t>
            </w:r>
          </w:p>
        </w:tc>
      </w:tr>
    </w:tbl>
    <w:p>
      <w:pPr>
        <w:spacing w:before="0" w:after="0"/>
      </w:pPr>
    </w:p>
    <w:p>
      <w:pPr>
        <w:pStyle w:val="Heading2"/>
        <w:spacing w:before="280" w:after="100"/>
      </w:pPr>
      <w:r>
        <w:rPr>
          <w:rFonts w:ascii="Arial" w:cs="Arial" w:eastAsia="Arial" w:hAnsi="Arial"/>
          <w:b/>
          <w:bCs/>
          <w:color w:val="2E75B6"/>
          <w:sz w:val="26"/>
          <w:szCs w:val="26"/>
        </w:rPr>
        <w:t xml:space="preserve">4.3. ¿Cuándo necesito seleccionar la afectación manualmente?</w:t>
      </w:r>
    </w:p>
    <w:p>
      <w:pPr>
        <w:spacing w:before="80" w:after="80"/>
        <w:jc w:val="left"/>
      </w:pPr>
      <w:r>
        <w:rPr>
          <w:rFonts w:ascii="Arial" w:cs="Arial" w:eastAsia="Arial" w:hAnsi="Arial"/>
          <w:color w:val="404040"/>
          <w:sz w:val="20"/>
          <w:szCs w:val="20"/>
        </w:rPr>
        <w:t xml:space="preserve">La asignación automática cubre la mayoría de casos. Sin embargo, existen situaciones donde el contador debe seleccionar manualmente el tipo de afectación porque el sistema no puede inferir el destino económico de la compra:</w:t>
      </w:r>
    </w:p>
    <w:p>
      <w:pPr>
        <w:pStyle w:val="ListParagraph"/>
        <w:numPr>
          <w:ilvl w:val="0"/>
          <w:numId w:val="2"/>
        </w:numPr>
        <w:spacing w:before="60" w:after="60"/>
      </w:pPr>
      <w:r>
        <w:rPr>
          <w:rFonts w:ascii="Arial" w:cs="Arial" w:eastAsia="Arial" w:hAnsi="Arial"/>
          <w:b w:val="false"/>
          <w:bCs w:val="false"/>
          <w:color w:val="404040"/>
          <w:sz w:val="20"/>
          <w:szCs w:val="20"/>
        </w:rPr>
        <w:t xml:space="preserve">Empresa con operaciones MIXTAS (gravadas y exoneradas/inafectas simultáneamente): usar afectación "11 - DM" en las líneas que van a la prorrata del IGV.</w:t>
      </w:r>
    </w:p>
    <w:p>
      <w:pPr>
        <w:pStyle w:val="ListParagraph"/>
        <w:numPr>
          <w:ilvl w:val="0"/>
          <w:numId w:val="2"/>
        </w:numPr>
        <w:spacing w:before="60" w:after="60"/>
      </w:pPr>
      <w:r>
        <w:rPr>
          <w:rFonts w:ascii="Arial" w:cs="Arial" w:eastAsia="Arial" w:hAnsi="Arial"/>
          <w:b w:val="false"/>
          <w:bCs w:val="false"/>
          <w:color w:val="404040"/>
          <w:sz w:val="20"/>
          <w:szCs w:val="20"/>
        </w:rPr>
        <w:t xml:space="preserve">Adquisiciones destinadas exclusivamente a exportación: usar "14 - DE" o "17 - Exp. D.Leg. 1126".</w:t>
      </w:r>
    </w:p>
    <w:p>
      <w:pPr>
        <w:pStyle w:val="ListParagraph"/>
        <w:numPr>
          <w:ilvl w:val="0"/>
          <w:numId w:val="2"/>
        </w:numPr>
        <w:spacing w:before="60" w:after="60"/>
      </w:pPr>
      <w:r>
        <w:rPr>
          <w:rFonts w:ascii="Arial" w:cs="Arial" w:eastAsia="Arial" w:hAnsi="Arial"/>
          <w:b w:val="false"/>
          <w:bCs w:val="false"/>
          <w:color w:val="404040"/>
          <w:sz w:val="20"/>
          <w:szCs w:val="20"/>
        </w:rPr>
        <w:t xml:space="preserve">Compras destinadas a operaciones no gravadas que no generan CF: usar "12 - DN".</w:t>
      </w:r>
    </w:p>
    <w:p>
      <w:pPr>
        <w:pStyle w:val="ListParagraph"/>
        <w:numPr>
          <w:ilvl w:val="0"/>
          <w:numId w:val="2"/>
        </w:numPr>
        <w:spacing w:before="60" w:after="60"/>
      </w:pPr>
      <w:r>
        <w:rPr>
          <w:rFonts w:ascii="Arial" w:cs="Arial" w:eastAsia="Arial" w:hAnsi="Arial"/>
          <w:b w:val="false"/>
          <w:bCs w:val="false"/>
          <w:color w:val="404040"/>
          <w:sz w:val="20"/>
          <w:szCs w:val="20"/>
        </w:rPr>
        <w:t xml:space="preserve">Liquidaciones de compra a personas sin RUC: usar "23 - Liquidación de compra".</w:t>
      </w:r>
    </w:p>
    <w:p>
      <w:pPr>
        <w:spacing w:before="0" w:after="0"/>
      </w:pPr>
    </w:p>
    <w:p>
      <w:r>
        <w:br w:type="page"/>
      </w:r>
    </w:p>
    <w:p>
      <w:pPr>
        <w:pStyle w:val="Heading1"/>
        <w:spacing w:before="360" w:after="120"/>
      </w:pPr>
      <w:r>
        <w:rPr>
          <w:rFonts w:ascii="Arial" w:cs="Arial" w:eastAsia="Arial" w:hAnsi="Arial"/>
          <w:b/>
          <w:bCs/>
          <w:color w:val="1F4E79"/>
          <w:sz w:val="32"/>
          <w:szCs w:val="32"/>
        </w:rPr>
        <w:t xml:space="preserve">5. Generación automática del TXT para SIRE</w:t>
      </w:r>
    </w:p>
    <w:p>
      <w:pPr>
        <w:pBdr>
          <w:bottom w:val="single" w:color="2E75B6" w:sz="6" w:space="1"/>
        </w:pBdr>
        <w:spacing w:before="0" w:after="0"/>
      </w:pPr>
    </w:p>
    <w:p>
      <w:pPr>
        <w:spacing w:before="0" w:after="0"/>
      </w:pPr>
    </w:p>
    <w:p>
      <w:pPr>
        <w:spacing w:before="80" w:after="80"/>
        <w:jc w:val="left"/>
      </w:pPr>
      <w:r>
        <w:rPr>
          <w:rFonts w:ascii="Arial" w:cs="Arial" w:eastAsia="Arial" w:hAnsi="Arial"/>
          <w:color w:val="404040"/>
          <w:sz w:val="20"/>
          <w:szCs w:val="20"/>
        </w:rPr>
        <w:t xml:space="preserve">Al presionar "Generar Reporte" en el módulo SIRE Compras, el sistema recorre todas las facturas del período y construye el archivo TXT según la estructura exigida por SUNAT. Para las columnas 15 a 24, el proceso es el siguiente: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880"/>
        <w:gridCol w:w="25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Paso</w:t>
            </w:r>
          </w:p>
        </w:tc>
        <w:tc>
          <w:tcPr>
            <w:tcW w:type="dxa" w:w="33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Acción</w:t>
            </w:r>
          </w:p>
        </w:tc>
        <w:tc>
          <w:tcPr>
            <w:tcW w:type="dxa" w:w="28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Condición</w:t>
            </w:r>
          </w:p>
        </w:tc>
        <w:tc>
          <w:tcPr>
            <w:tcW w:type="dxa" w:w="2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Resultado</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Iterar invoice_line_ids</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Cada línea de factura (producto / servicio)</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Obtiene line.tipo_afectacion_compra y line.tax_ids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Para cada impuesto en tax_ids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Puede haber ≥1 impuesto por línea (IGV + ISC)</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Inicializa ingreso_imp_base = False</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3</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Buscar en impuesto_afect_ids</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imp_afect.impuesto_id == impuesto.id</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Si hay match → calcula valor_corresponde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4a</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toma_para_calculo = "base"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Caso más común (IGV col. 15/17/19, EXO/INA col. 21)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valor_corresponde = line.price_subtotal</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4b</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toma_para_calculo = "impuesto"</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IGV col. 16/18/20, ISC col. 22, ICBPER col. 23</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valor_corresponde = price_total − price_subtotal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4c</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toma_para_calculo = "total"</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Sin IGV: exoneradas, inafectas sin impuesto (col. 21)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valor_corresponde = line.price_total</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5</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Acumular json[clave]</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clave = "nro_" + nro_col_importe_impuesto</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json["nro_15"] += valor_corresponde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6</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ingreso_imp_base = True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El impuesto fue mapeado en la afectación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No se suma nada a nro_24</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7</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ingreso_imp_base sigue False</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Impuesto sin afectación configurada</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El monto va a total_otros_impuestos → nro_24</w:t>
            </w:r>
          </w:p>
        </w:tc>
      </w:tr>
    </w:tbl>
    <w:p>
      <w:pPr>
        <w:spacing w:before="0" w:after="0"/>
      </w:pPr>
    </w:p>
    <w:p>
      <w:pPr>
        <w:pStyle w:val="Heading2"/>
        <w:spacing w:before="280" w:after="100"/>
      </w:pPr>
      <w:r>
        <w:rPr>
          <w:rFonts w:ascii="Arial" w:cs="Arial" w:eastAsia="Arial" w:hAnsi="Arial"/>
          <w:b/>
          <w:bCs/>
          <w:color w:val="2E75B6"/>
          <w:sz w:val="26"/>
          <w:szCs w:val="26"/>
        </w:rPr>
        <w:t xml:space="preserve">5.1. ¿Qué pasa si una línea no tiene tipo de afectación?</w:t>
      </w:r>
    </w:p>
    <w:p>
      <w:pPr>
        <w:spacing w:before="80" w:after="80"/>
        <w:jc w:val="left"/>
      </w:pPr>
      <w:r>
        <w:rPr>
          <w:rFonts w:ascii="Arial" w:cs="Arial" w:eastAsia="Arial" w:hAnsi="Arial"/>
          <w:color w:val="404040"/>
          <w:sz w:val="20"/>
          <w:szCs w:val="20"/>
        </w:rPr>
        <w:t xml:space="preserve">Si una línea de factura no tiene asignado un tipo de afectación, o el impuesto no está configurado en esa afectación, el sistema coloca el monto en la columna 24 (Otros tributos). Esto es un fallback para no perder datos, pero es recomendable que todas las líneas tengan su afectación correctamente asignada para que los importes queden en las columnas que corresponden.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D6E4F0" w:sz="1"/>
              <w:bottom w:val="single" w:color="D6E4F0" w:sz="1"/>
              <w:right w:val="single" w:color="D6E4F0" w:sz="1"/>
            </w:tcBorders>
            <w:shd w:fill="F8FBFF" w:val="clear"/>
            <w:tcMar>
              <w:top w:type="dxa" w:w="120"/>
              <w:left w:type="dxa" w:w="200"/>
              <w:bottom w:type="dxa" w:w="120"/>
              <w:right w:type="dxa" w:w="200"/>
            </w:tcMar>
          </w:tcPr>
          <w:p>
            <w:pPr>
              <w:spacing w:before="0" w:after="0"/>
            </w:pPr>
            <w:r>
              <w:rPr>
                <w:rFonts w:ascii="Arial" w:cs="Arial" w:eastAsia="Arial" w:hAnsi="Arial"/>
                <w:color w:val="1F4E79"/>
                <w:sz w:val="17"/>
                <w:szCs w:val="17"/>
              </w:rPr>
              <w:t xml:space="preserve">for line in self.invoice_line_ids:</w:t>
            </w:r>
          </w:p>
          <w:p>
            <w:pPr>
              <w:spacing w:before="0" w:after="0"/>
            </w:pPr>
            <w:r>
              <w:rPr>
                <w:rFonts w:ascii="Arial" w:cs="Arial" w:eastAsia="Arial" w:hAnsi="Arial"/>
                <w:color w:val="1F4E79"/>
                <w:sz w:val="17"/>
                <w:szCs w:val="17"/>
              </w:rPr>
              <w:t xml:space="preserve">    tipo_afectacion = line.tipo_afectacion_compra   # Ej: afectacion DG</w:t>
            </w:r>
          </w:p>
          <w:p>
            <w:pPr>
              <w:spacing w:before="0" w:after="0"/>
            </w:pPr>
            <w:r>
              <w:rPr>
                <w:rFonts w:ascii="Arial" w:cs="Arial" w:eastAsia="Arial" w:hAnsi="Arial"/>
                <w:color w:val="1F4E79"/>
                <w:sz w:val="17"/>
                <w:szCs w:val="17"/>
              </w:rPr>
              <w:t xml:space="preserve">    for impuesto in line.tax_ids:</w:t>
            </w:r>
          </w:p>
          <w:p>
            <w:pPr>
              <w:spacing w:before="0" w:after="0"/>
            </w:pPr>
            <w:r>
              <w:rPr>
                <w:rFonts w:ascii="Arial" w:cs="Arial" w:eastAsia="Arial" w:hAnsi="Arial"/>
                <w:color w:val="1F4E79"/>
                <w:sz w:val="17"/>
                <w:szCs w:val="17"/>
              </w:rPr>
              <w:t xml:space="preserve">        ingreso_imp_base = False</w:t>
            </w:r>
          </w:p>
          <w:p>
            <w:pPr>
              <w:spacing w:before="0" w:after="0"/>
            </w:pPr>
            <w:r>
              <w:rPr>
                <w:rFonts w:ascii="Arial" w:cs="Arial" w:eastAsia="Arial" w:hAnsi="Arial"/>
                <w:color w:val="1F4E79"/>
                <w:sz w:val="17"/>
                <w:szCs w:val="17"/>
              </w:rPr>
              <w:t xml:space="preserve">        for imp_afect in tipo_afectacion.impuesto_afect_ids:</w:t>
            </w:r>
          </w:p>
          <w:p>
            <w:pPr>
              <w:spacing w:before="0" w:after="0"/>
            </w:pPr>
            <w:r>
              <w:rPr>
                <w:rFonts w:ascii="Arial" w:cs="Arial" w:eastAsia="Arial" w:hAnsi="Arial"/>
                <w:color w:val="1F4E79"/>
                <w:sz w:val="17"/>
                <w:szCs w:val="17"/>
              </w:rPr>
              <w:t xml:space="preserve">            if imp_afect.impuesto_id.id == impuesto.id:</w:t>
            </w:r>
          </w:p>
          <w:p>
            <w:pPr>
              <w:spacing w:before="0" w:after="0"/>
            </w:pPr>
            <w:r>
              <w:rPr>
                <w:rFonts w:ascii="Arial" w:cs="Arial" w:eastAsia="Arial" w:hAnsi="Arial"/>
                <w:color w:val="1F4E79"/>
                <w:sz w:val="17"/>
                <w:szCs w:val="17"/>
              </w:rPr>
              <w:t xml:space="preserve">                if imp_afect.toma_para_calculo == base:</w:t>
            </w:r>
          </w:p>
          <w:p>
            <w:pPr>
              <w:spacing w:before="0" w:after="0"/>
            </w:pPr>
            <w:r>
              <w:rPr>
                <w:rFonts w:ascii="Arial" w:cs="Arial" w:eastAsia="Arial" w:hAnsi="Arial"/>
                <w:color w:val="1F4E79"/>
                <w:sz w:val="17"/>
                <w:szCs w:val="17"/>
              </w:rPr>
              <w:t xml:space="preserve">                    valor = line.price_subtotal</w:t>
            </w:r>
          </w:p>
          <w:p>
            <w:pPr>
              <w:spacing w:before="0" w:after="0"/>
            </w:pPr>
            <w:r>
              <w:rPr>
                <w:rFonts w:ascii="Arial" w:cs="Arial" w:eastAsia="Arial" w:hAnsi="Arial"/>
                <w:color w:val="1F4E79"/>
                <w:sz w:val="17"/>
                <w:szCs w:val="17"/>
              </w:rPr>
              <w:t xml:space="preserve">                elif imp_afect.toma_para_calculo == impuesto_calc:</w:t>
            </w:r>
          </w:p>
          <w:p>
            <w:pPr>
              <w:spacing w:before="0" w:after="0"/>
            </w:pPr>
            <w:r>
              <w:rPr>
                <w:rFonts w:ascii="Arial" w:cs="Arial" w:eastAsia="Arial" w:hAnsi="Arial"/>
                <w:color w:val="1F4E79"/>
                <w:sz w:val="17"/>
                <w:szCs w:val="17"/>
              </w:rPr>
              <w:t xml:space="preserve">                    valor = line.price_total - line.price_subtotal</w:t>
            </w:r>
          </w:p>
          <w:p>
            <w:pPr>
              <w:spacing w:before="0" w:after="0"/>
            </w:pPr>
            <w:r>
              <w:rPr>
                <w:rFonts w:ascii="Arial" w:cs="Arial" w:eastAsia="Arial" w:hAnsi="Arial"/>
                <w:color w:val="1F4E79"/>
                <w:sz w:val="17"/>
                <w:szCs w:val="17"/>
              </w:rPr>
              <w:t xml:space="preserve">                elif imp_afect.toma_para_calculo == total:</w:t>
            </w:r>
          </w:p>
          <w:p>
            <w:pPr>
              <w:spacing w:before="0" w:after="0"/>
            </w:pPr>
            <w:r>
              <w:rPr>
                <w:rFonts w:ascii="Arial" w:cs="Arial" w:eastAsia="Arial" w:hAnsi="Arial"/>
                <w:color w:val="1F4E79"/>
                <w:sz w:val="17"/>
                <w:szCs w:val="17"/>
              </w:rPr>
              <w:t xml:space="preserve">                    valor = line.price_total</w:t>
            </w:r>
          </w:p>
          <w:p>
            <w:pPr>
              <w:spacing w:before="0" w:after="0"/>
            </w:pPr>
            <w:r>
              <w:rPr>
                <w:rFonts w:ascii="Arial" w:cs="Arial" w:eastAsia="Arial" w:hAnsi="Arial"/>
                <w:color w:val="1F4E79"/>
                <w:sz w:val="17"/>
                <w:szCs w:val="17"/>
              </w:rPr>
              <w:t xml:space="preserve">                clave = nro_ + str(imp_afect.nro_col_importe_impuesto)</w:t>
            </w:r>
          </w:p>
          <w:p>
            <w:pPr>
              <w:spacing w:before="0" w:after="0"/>
            </w:pPr>
            <w:r>
              <w:rPr>
                <w:rFonts w:ascii="Arial" w:cs="Arial" w:eastAsia="Arial" w:hAnsi="Arial"/>
                <w:color w:val="1F4E79"/>
                <w:sz w:val="17"/>
                <w:szCs w:val="17"/>
              </w:rPr>
              <w:t xml:space="preserve">                json[clave] += valor</w:t>
            </w:r>
          </w:p>
          <w:p>
            <w:pPr>
              <w:spacing w:before="0" w:after="0"/>
            </w:pPr>
            <w:r>
              <w:rPr>
                <w:rFonts w:ascii="Arial" w:cs="Arial" w:eastAsia="Arial" w:hAnsi="Arial"/>
                <w:color w:val="1F4E79"/>
                <w:sz w:val="17"/>
                <w:szCs w:val="17"/>
              </w:rPr>
              <w:t xml:space="preserve">                ingreso_imp_base = True</w:t>
            </w:r>
          </w:p>
          <w:p>
            <w:pPr>
              <w:spacing w:before="0" w:after="0"/>
            </w:pPr>
            <w:r>
              <w:rPr>
                <w:rFonts w:ascii="Arial" w:cs="Arial" w:eastAsia="Arial" w:hAnsi="Arial"/>
                <w:color w:val="1F4E79"/>
                <w:sz w:val="17"/>
                <w:szCs w:val="17"/>
              </w:rPr>
              <w:t xml:space="preserve">        if not ingreso_imp_base:</w:t>
            </w:r>
          </w:p>
          <w:p>
            <w:pPr>
              <w:spacing w:before="0" w:after="0"/>
            </w:pPr>
            <w:r>
              <w:rPr>
                <w:rFonts w:ascii="Arial" w:cs="Arial" w:eastAsia="Arial" w:hAnsi="Arial"/>
                <w:color w:val="1F4E79"/>
                <w:sz w:val="17"/>
                <w:szCs w:val="17"/>
              </w:rPr>
              <w:t xml:space="preserve">            json[nro_24] += price_total - price_subtotal</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Cada línea de factura puede tener una afectación distinta. Por ejemplo, una misma factura puede tener líneas gravadas (cols. 15/16) y líneas exoneradas (col. 21) al mismo tiempo, y el sistema las distribuye correctamente en el TXT.</w:t>
            </w:r>
          </w:p>
        </w:tc>
      </w:tr>
    </w:tbl>
    <w:p>
      <w:pPr>
        <w:spacing w:before="0" w:after="0"/>
      </w:pPr>
    </w:p>
    <w:p>
      <w:pPr>
        <w:pStyle w:val="Heading2"/>
        <w:spacing w:before="280" w:after="100"/>
      </w:pPr>
      <w:r>
        <w:rPr>
          <w:rFonts w:ascii="Arial" w:cs="Arial" w:eastAsia="Arial" w:hAnsi="Arial"/>
          <w:b/>
          <w:bCs/>
          <w:color w:val="2E75B6"/>
          <w:sz w:val="26"/>
          <w:szCs w:val="26"/>
        </w:rPr>
        <w:t xml:space="preserve">5.2. Notas de Crédito de compra</w:t>
      </w:r>
    </w:p>
    <w:p>
      <w:pPr>
        <w:spacing w:before="80" w:after="80"/>
        <w:jc w:val="left"/>
      </w:pPr>
      <w:r>
        <w:rPr>
          <w:rFonts w:ascii="Arial" w:cs="Arial" w:eastAsia="Arial" w:hAnsi="Arial"/>
          <w:color w:val="404040"/>
          <w:sz w:val="20"/>
          <w:szCs w:val="20"/>
        </w:rPr>
        <w:t xml:space="preserve">Las notas de crédito de proveedor se registran automáticamente en el RCE con montos negativos, reflejando la reversión de la compra original. No requiere ninguna configuración adicional:</w:t>
      </w:r>
    </w:p>
    <w:p>
      <w:pPr>
        <w:pStyle w:val="ListParagraph"/>
        <w:numPr>
          <w:ilvl w:val="0"/>
          <w:numId w:val="2"/>
        </w:numPr>
        <w:spacing w:before="60" w:after="60"/>
      </w:pPr>
      <w:r>
        <w:rPr>
          <w:rFonts w:ascii="Arial" w:cs="Arial" w:eastAsia="Arial" w:hAnsi="Arial"/>
          <w:b w:val="false"/>
          <w:bCs w:val="false"/>
          <w:color w:val="404040"/>
          <w:sz w:val="20"/>
          <w:szCs w:val="20"/>
        </w:rPr>
        <w:t xml:space="preserve">El sistema identifica que el documento es una nota de crédito (código 07).</w:t>
      </w:r>
    </w:p>
    <w:p>
      <w:pPr>
        <w:pStyle w:val="ListParagraph"/>
        <w:numPr>
          <w:ilvl w:val="0"/>
          <w:numId w:val="2"/>
        </w:numPr>
        <w:spacing w:before="60" w:after="60"/>
      </w:pPr>
      <w:r>
        <w:rPr>
          <w:rFonts w:ascii="Arial" w:cs="Arial" w:eastAsia="Arial" w:hAnsi="Arial"/>
          <w:b w:val="false"/>
          <w:bCs w:val="false"/>
          <w:color w:val="404040"/>
          <w:sz w:val="20"/>
          <w:szCs w:val="20"/>
        </w:rPr>
        <w:t xml:space="preserve">Aplica los mismos tipos de afectación que la factura, pero con montos negativos en todas las columnas 15–24.</w:t>
      </w:r>
    </w:p>
    <w:p>
      <w:pPr>
        <w:pStyle w:val="ListParagraph"/>
        <w:numPr>
          <w:ilvl w:val="0"/>
          <w:numId w:val="2"/>
        </w:numPr>
        <w:spacing w:before="60" w:after="60"/>
      </w:pPr>
      <w:r>
        <w:rPr>
          <w:rFonts w:ascii="Arial" w:cs="Arial" w:eastAsia="Arial" w:hAnsi="Arial"/>
          <w:b w:val="false"/>
          <w:bCs w:val="false"/>
          <w:color w:val="404040"/>
          <w:sz w:val="20"/>
          <w:szCs w:val="20"/>
        </w:rPr>
        <w:t xml:space="preserve">La columna 25 (importe total) también se registra como negativo, representando la reducción de la obligación.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Al crear una nota de crédito de proveedor en Odoo, el sistema la enlaza con la factura original y genera el TXT del RCE con los montos correctamente invertidos sin necesidad de intervención manual.</w:t>
            </w:r>
          </w:p>
        </w:tc>
      </w:tr>
    </w:tbl>
    <w:p>
      <w:pPr>
        <w:spacing w:before="0" w:after="0"/>
      </w:pPr>
    </w:p>
    <w:p>
      <w:pPr>
        <w:pStyle w:val="Heading2"/>
        <w:spacing w:before="280" w:after="100"/>
      </w:pPr>
      <w:r>
        <w:rPr>
          <w:rFonts w:ascii="Arial" w:cs="Arial" w:eastAsia="Arial" w:hAnsi="Arial"/>
          <w:b/>
          <w:bCs/>
          <w:color w:val="2E75B6"/>
          <w:sz w:val="26"/>
          <w:szCs w:val="26"/>
        </w:rPr>
        <w:t xml:space="preserve">5.3. Comprobantes anulados</w:t>
      </w:r>
    </w:p>
    <w:p>
      <w:pPr>
        <w:spacing w:before="80" w:after="80"/>
        <w:jc w:val="left"/>
      </w:pPr>
      <w:r>
        <w:rPr>
          <w:rFonts w:ascii="Arial" w:cs="Arial" w:eastAsia="Arial" w:hAnsi="Arial"/>
          <w:color w:val="404040"/>
          <w:sz w:val="20"/>
          <w:szCs w:val="20"/>
        </w:rPr>
        <w:t xml:space="preserve">Los comprobantes anulados se incluyen en el RCE con estado 2 y todas las columnas de importes en cero, cumpliendo con el requisito SUNAT de mantener la trazabilidad de todos los documentos del período:</w:t>
      </w:r>
    </w:p>
    <w:p>
      <w:pPr>
        <w:pStyle w:val="ListParagraph"/>
        <w:numPr>
          <w:ilvl w:val="0"/>
          <w:numId w:val="2"/>
        </w:numPr>
        <w:spacing w:before="60" w:after="60"/>
      </w:pPr>
      <w:r>
        <w:rPr>
          <w:rFonts w:ascii="Arial" w:cs="Arial" w:eastAsia="Arial" w:hAnsi="Arial"/>
          <w:b w:val="false"/>
          <w:bCs w:val="false"/>
          <w:color w:val="404040"/>
          <w:sz w:val="20"/>
          <w:szCs w:val="20"/>
        </w:rPr>
        <w:t xml:space="preserve">El comprobante aparece en el TXT para mantener la correlatividad del registro.</w:t>
      </w:r>
    </w:p>
    <w:p>
      <w:pPr>
        <w:pStyle w:val="ListParagraph"/>
        <w:numPr>
          <w:ilvl w:val="0"/>
          <w:numId w:val="2"/>
        </w:numPr>
        <w:spacing w:before="60" w:after="60"/>
      </w:pPr>
      <w:r>
        <w:rPr>
          <w:rFonts w:ascii="Arial" w:cs="Arial" w:eastAsia="Arial" w:hAnsi="Arial"/>
          <w:b w:val="false"/>
          <w:bCs w:val="false"/>
          <w:color w:val="404040"/>
          <w:sz w:val="20"/>
          <w:szCs w:val="20"/>
        </w:rPr>
        <w:t xml:space="preserve">Todas las columnas de importes (15–25) se registran en cero.</w:t>
      </w:r>
    </w:p>
    <w:p>
      <w:pPr>
        <w:pStyle w:val="ListParagraph"/>
        <w:numPr>
          <w:ilvl w:val="0"/>
          <w:numId w:val="2"/>
        </w:numPr>
        <w:spacing w:before="60" w:after="60"/>
      </w:pPr>
      <w:r>
        <w:rPr>
          <w:rFonts w:ascii="Arial" w:cs="Arial" w:eastAsia="Arial" w:hAnsi="Arial"/>
          <w:b w:val="false"/>
          <w:bCs w:val="false"/>
          <w:color w:val="404040"/>
          <w:sz w:val="20"/>
          <w:szCs w:val="20"/>
        </w:rPr>
        <w:t xml:space="preserve">SUNAT reconoce el documento como anulado sin que genere crédito fiscal ni afecte la base imponible.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2"/>
              <w:bottom w:val="single" w:color="7D6608" w:sz="1"/>
              <w:right w:val="single" w:color="7D6608" w:sz="1"/>
            </w:tcBorders>
            <w:shd w:fill="FFF2CC" w:val="clear"/>
            <w:tcMar>
              <w:top w:type="dxa" w:w="100"/>
              <w:left w:type="dxa" w:w="160"/>
              <w:bottom w:type="dxa" w:w="100"/>
              <w:right w:type="dxa" w:w="160"/>
            </w:tcMar>
          </w:tcPr>
          <w:p>
            <w:r>
              <w:rPr>
                <w:rFonts w:ascii="Arial" w:cs="Arial" w:eastAsia="Arial" w:hAnsi="Arial"/>
                <w:color w:val="404040"/>
                <w:sz w:val="19"/>
                <w:szCs w:val="19"/>
              </w:rPr>
              <w:t xml:space="preserve">Para anular correctamente un comprobante en Odoo, use el botón "Restablecer a borrador" y luego "Cancelar". El estado del comprobante debe ser "Cancelado" para que se registre correctamente en el TXT.</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6. Configuración y mantenimiento</w:t>
      </w:r>
    </w:p>
    <w:p>
      <w:pPr>
        <w:pBdr>
          <w:bottom w:val="single" w:color="2E75B6" w:sz="6" w:space="1"/>
        </w:pBdr>
        <w:spacing w:before="0" w:after="0"/>
      </w:pPr>
    </w:p>
    <w:p>
      <w:pPr>
        <w:spacing w:before="0" w:after="0"/>
      </w:pPr>
    </w:p>
    <w:p>
      <w:pPr>
        <w:pStyle w:val="Heading2"/>
        <w:spacing w:before="280" w:after="100"/>
      </w:pPr>
      <w:r>
        <w:rPr>
          <w:rFonts w:ascii="Arial" w:cs="Arial" w:eastAsia="Arial" w:hAnsi="Arial"/>
          <w:b/>
          <w:bCs/>
          <w:color w:val="2E75B6"/>
          <w:sz w:val="26"/>
          <w:szCs w:val="26"/>
        </w:rPr>
        <w:t xml:space="preserve">6.1. Instalación y mapeo automático de impuestos</w:t>
      </w:r>
    </w:p>
    <w:p>
      <w:pPr>
        <w:spacing w:before="80" w:after="80"/>
        <w:jc w:val="left"/>
      </w:pPr>
      <w:r>
        <w:rPr>
          <w:rFonts w:ascii="Arial" w:cs="Arial" w:eastAsia="Arial" w:hAnsi="Arial"/>
          <w:color w:val="404040"/>
          <w:sz w:val="20"/>
          <w:szCs w:val="20"/>
        </w:rPr>
        <w:t xml:space="preserve">Al instalar solse_pe_purchase, el post_init_hook ejecuta automáticamente _mapear_impuestos(env). Esta función:</w:t>
      </w:r>
    </w:p>
    <w:p>
      <w:pPr>
        <w:pStyle w:val="ListParagraph"/>
        <w:numPr>
          <w:ilvl w:val="0"/>
          <w:numId w:val="3"/>
        </w:numPr>
        <w:spacing w:before="60" w:after="60"/>
      </w:pPr>
      <w:r>
        <w:rPr>
          <w:rFonts w:ascii="Arial" w:cs="Arial" w:eastAsia="Arial" w:hAnsi="Arial"/>
          <w:color w:val="404040"/>
          <w:sz w:val="20"/>
          <w:szCs w:val="20"/>
        </w:rPr>
        <w:t xml:space="preserve">Crea los 14 registros de afectación (cabecera) con noupdate=1 desde el XML de datos.</w:t>
      </w:r>
    </w:p>
    <w:p>
      <w:pPr>
        <w:pStyle w:val="ListParagraph"/>
        <w:numPr>
          <w:ilvl w:val="0"/>
          <w:numId w:val="3"/>
        </w:numPr>
        <w:spacing w:before="60" w:after="60"/>
      </w:pPr>
      <w:r>
        <w:rPr>
          <w:rFonts w:ascii="Arial" w:cs="Arial" w:eastAsia="Arial" w:hAnsi="Arial"/>
          <w:color w:val="404040"/>
          <w:sz w:val="20"/>
          <w:szCs w:val="20"/>
        </w:rPr>
        <w:t xml:space="preserve">Busca todos los account.tax de compra por l10n_pe_edi_tax_code (1000=IGV, 9997=EXO, 9998=INA, etc.).</w:t>
      </w:r>
    </w:p>
    <w:p>
      <w:pPr>
        <w:pStyle w:val="ListParagraph"/>
        <w:numPr>
          <w:ilvl w:val="0"/>
          <w:numId w:val="3"/>
        </w:numPr>
        <w:spacing w:before="60" w:after="60"/>
      </w:pPr>
      <w:r>
        <w:rPr>
          <w:rFonts w:ascii="Arial" w:cs="Arial" w:eastAsia="Arial" w:hAnsi="Arial"/>
          <w:color w:val="404040"/>
          <w:sz w:val="20"/>
          <w:szCs w:val="20"/>
        </w:rPr>
        <w:t xml:space="preserve">Crea las filas de detalle (impuesto_afect_ids) con la columna y tipo de cálculo correcto.</w:t>
      </w:r>
    </w:p>
    <w:p>
      <w:pPr>
        <w:pStyle w:val="ListParagraph"/>
        <w:numPr>
          <w:ilvl w:val="0"/>
          <w:numId w:val="3"/>
        </w:numPr>
        <w:spacing w:before="60" w:after="60"/>
      </w:pPr>
      <w:r>
        <w:rPr>
          <w:rFonts w:ascii="Arial" w:cs="Arial" w:eastAsia="Arial" w:hAnsi="Arial"/>
          <w:color w:val="404040"/>
          <w:sz w:val="20"/>
          <w:szCs w:val="20"/>
        </w:rPr>
        <w:t xml:space="preserve">Asigna impuesto_defecto en cada afectación usando la primera fila del detalle.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2"/>
              <w:bottom w:val="single" w:color="7D6608" w:sz="1"/>
              <w:right w:val="single" w:color="7D6608" w:sz="1"/>
            </w:tcBorders>
            <w:shd w:fill="FFF2CC" w:val="clear"/>
            <w:tcMar>
              <w:top w:type="dxa" w:w="100"/>
              <w:left w:type="dxa" w:w="160"/>
              <w:bottom w:type="dxa" w:w="100"/>
              <w:right w:type="dxa" w:w="160"/>
            </w:tcMar>
          </w:tcPr>
          <w:p>
            <w:r>
              <w:rPr>
                <w:rFonts w:ascii="Arial" w:cs="Arial" w:eastAsia="Arial" w:hAnsi="Arial"/>
                <w:color w:val="404040"/>
                <w:sz w:val="19"/>
                <w:szCs w:val="19"/>
              </w:rPr>
              <w:t xml:space="preserve">Si el módulo se instaló antes de configurar el plan contable Perú, ejecute el proceso "Mapear Impuestos" desde Facturación → Afectación compra → Mapear Impuestos para vincular los impuestos correctamente.</w:t>
            </w:r>
          </w:p>
        </w:tc>
      </w:tr>
    </w:tbl>
    <w:p>
      <w:pPr>
        <w:spacing w:before="0" w:after="0"/>
      </w:pPr>
    </w:p>
    <w:p>
      <w:pPr>
        <w:pStyle w:val="Heading2"/>
        <w:spacing w:before="280" w:after="100"/>
      </w:pPr>
      <w:r>
        <w:rPr>
          <w:rFonts w:ascii="Arial" w:cs="Arial" w:eastAsia="Arial" w:hAnsi="Arial"/>
          <w:b/>
          <w:bCs/>
          <w:color w:val="2E75B6"/>
          <w:sz w:val="26"/>
          <w:szCs w:val="26"/>
        </w:rPr>
        <w:t xml:space="preserve">6.2. Asignación automática en la línea de factura</w:t>
      </w:r>
    </w:p>
    <w:p>
      <w:pPr>
        <w:spacing w:before="80" w:after="80"/>
        <w:jc w:val="left"/>
      </w:pPr>
      <w:r>
        <w:rPr>
          <w:rFonts w:ascii="Arial" w:cs="Arial" w:eastAsia="Arial" w:hAnsi="Arial"/>
          <w:color w:val="404040"/>
          <w:sz w:val="20"/>
          <w:szCs w:val="20"/>
        </w:rPr>
        <w:t xml:space="preserve">El módulo asigna automáticamente la afectación en tres momentos durante el ingreso de la factura:</w:t>
      </w:r>
    </w:p>
    <w:p>
      <w:pPr>
        <w:pStyle w:val="ListParagraph"/>
        <w:numPr>
          <w:ilvl w:val="0"/>
          <w:numId w:val="2"/>
        </w:numPr>
        <w:spacing w:before="60" w:after="60"/>
      </w:pPr>
      <w:r>
        <w:rPr>
          <w:rFonts w:ascii="Arial" w:cs="Arial" w:eastAsia="Arial" w:hAnsi="Arial"/>
          <w:b w:val="false"/>
          <w:bCs w:val="false"/>
          <w:color w:val="404040"/>
          <w:sz w:val="20"/>
          <w:szCs w:val="20"/>
        </w:rPr>
        <w:t xml:space="preserve">Al cambiar el impuesto en la línea: el sistema busca la afectación correspondiente y la asigna.</w:t>
      </w:r>
    </w:p>
    <w:p>
      <w:pPr>
        <w:pStyle w:val="ListParagraph"/>
        <w:numPr>
          <w:ilvl w:val="0"/>
          <w:numId w:val="2"/>
        </w:numPr>
        <w:spacing w:before="60" w:after="60"/>
      </w:pPr>
      <w:r>
        <w:rPr>
          <w:rFonts w:ascii="Arial" w:cs="Arial" w:eastAsia="Arial" w:hAnsi="Arial"/>
          <w:b w:val="false"/>
          <w:bCs w:val="false"/>
          <w:color w:val="404040"/>
          <w:sz w:val="20"/>
          <w:szCs w:val="20"/>
        </w:rPr>
        <w:t xml:space="preserve">Al seleccionar o cambiar el producto: el sistema asigna la afectación según el impuesto del producto.</w:t>
      </w:r>
    </w:p>
    <w:p>
      <w:pPr>
        <w:pStyle w:val="ListParagraph"/>
        <w:numPr>
          <w:ilvl w:val="0"/>
          <w:numId w:val="2"/>
        </w:numPr>
        <w:spacing w:before="60" w:after="60"/>
      </w:pPr>
      <w:r>
        <w:rPr>
          <w:rFonts w:ascii="Arial" w:cs="Arial" w:eastAsia="Arial" w:hAnsi="Arial"/>
          <w:b w:val="false"/>
          <w:bCs w:val="false"/>
          <w:color w:val="404040"/>
          <w:sz w:val="20"/>
          <w:szCs w:val="20"/>
        </w:rPr>
        <w:t xml:space="preserve">Al cambiar la afectación manualmente: si el impuesto actual no corresponde, se reemplaza por el impuesto por defecto de la nueva afectación.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Si cambia el impuesto después de haber seleccionado la afectación, el sistema actualizará la afectación para que coincida con el nuevo impuesto. Si desea mantener una afectación específica, selecciónela después de definir el impuesto.</w:t>
            </w:r>
          </w:p>
        </w:tc>
      </w:tr>
    </w:tbl>
    <w:p>
      <w:pPr>
        <w:spacing w:before="0" w:after="0"/>
      </w:pPr>
    </w:p>
    <w:p>
      <w:pPr>
        <w:pStyle w:val="Heading2"/>
        <w:spacing w:before="280" w:after="100"/>
      </w:pPr>
      <w:r>
        <w:rPr>
          <w:rFonts w:ascii="Arial" w:cs="Arial" w:eastAsia="Arial" w:hAnsi="Arial"/>
          <w:b/>
          <w:bCs/>
          <w:color w:val="2E75B6"/>
          <w:sz w:val="26"/>
          <w:szCs w:val="26"/>
        </w:rPr>
        <w:t xml:space="preserve">6.3. Casos especiales que requieren selección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Caso</w:t>
            </w:r>
          </w:p>
        </w:tc>
        <w:tc>
          <w:tcPr>
            <w:tcW w:type="dxa" w:w="57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Acción requerida</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Empresa con operaciones MIXTAS (DM)</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El contador debe seleccionar manualmente la afectación "11 - DM" en las líneas de facturas que van a la prorrata. La autoasignación no puede inferir el destino económico de la compra.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Adquisiciones para exportación (DE)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Seleccionar manualmente afectación "14 - DE" o "17 - Exp. D.Leg. 1126" según corresponda.</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Empresa en zona de Amazonía</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Crear una afectación "16 - Amazonía" mapeada al IGV de Amazonía (tasa diferenciada). No incluida en el mapeo automático.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Liquidación de compra (persona sin RUC)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Afectación "23 - Liq. de compra". No tiene IGV → col. 21. Verificar que el tipo de documento sea "04 - Liquidación de compra".</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Retención del IGV</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Afectación "22 - Retención" (mismas cols. 15/16 que DG). La retención en sí se registra en otros campos del RCE (cols. 35/36), no en 15–24.</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7. Preguntas frecuentes y solución de problemas</w:t>
      </w:r>
    </w:p>
    <w:p>
      <w:pPr>
        <w:pBdr>
          <w:bottom w:val="single" w:color="2E75B6" w:sz="6" w:space="1"/>
        </w:pBdr>
        <w:spacing w:before="0" w:after="0"/>
      </w:pP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Síntoma observado</w:t>
            </w:r>
          </w:p>
        </w:tc>
        <w:tc>
          <w:tcPr>
            <w:tcW w:type="dxa" w:w="32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Causa probable</w:t>
            </w:r>
          </w:p>
        </w:tc>
        <w:tc>
          <w:tcPr>
            <w:tcW w:type="dxa" w:w="32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Solución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Todo va a col. 24 (nro_24 tiene el total de la factura)</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Línea sin tipo_afectacion_compra, o la afectación no tiene impuesto_afect_ids configurado</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Verificar que la afectación tenga el impuesto mapeado. Ejecutar wizard "Mapear Impuestos".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Cols. 15 y 16 en 0.00 siendo compra gravada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El tipo de afectación de la línea no tiene configurado el IGV 18% en su detalle de impuestos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Ejecutar el proceso Mapear Impuestos desde Facturación → Afectación compra → Mapear Impuestos.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Columna 22 (ISC) en 0.00 con compra de ISC</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La afectación "19 - ISC" no tiene configurado el impuesto ISC en su detalle</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Ejecutar el proceso Mapear Impuestos. Verificar que existe un impuesto ISC con l10n_pe_edi_tax_code = 2000.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Cols. 15 y 17 ambas con valor en la misma factura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La factura tiene líneas con afectación DG (col.15) y líneas con DM (col.17)</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Es el comportamiento correcto cuando la empresa tiene operaciones mixtas y exclusivas en la misma factura.</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SUNAT rechaza el TXT por inconsistencia col. 15+17+19+21 ≠ base imponible</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Suma de bases no cuadra con amount_untaxed</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Revisar que TODAS las líneas tengan tipo_afectacion_compra. Las líneas sin afectación van a col. 24.</w:t>
            </w:r>
          </w:p>
        </w:tc>
      </w:tr>
    </w:tbl>
    <w:p>
      <w:pPr>
        <w:spacing w:before="0" w:after="0"/>
      </w:pPr>
    </w:p>
    <w:p>
      <w:pPr>
        <w:spacing w:before="0" w:after="0"/>
      </w:pPr>
    </w:p>
    <w:p>
      <w:pPr>
        <w:pBdr>
          <w:bottom w:val="single" w:color="2E75B6" w:sz="6" w:space="1"/>
        </w:pBdr>
        <w:spacing w:before="0" w:after="0"/>
      </w:pPr>
    </w:p>
    <w:p>
      <w:pPr>
        <w:spacing w:before="0" w:after="0"/>
      </w:pPr>
    </w:p>
    <w:p>
      <w:pPr>
        <w:spacing w:before="80" w:after="80"/>
        <w:jc w:val="center"/>
      </w:pPr>
      <w:r>
        <w:rPr>
          <w:rFonts w:ascii="Arial" w:cs="Arial" w:eastAsia="Arial" w:hAnsi="Arial"/>
          <w:color w:val="404040"/>
          <w:sz w:val="20"/>
          <w:szCs w:val="20"/>
        </w:rPr>
        <w:t xml:space="preserve">Manual de usuario — F &amp; M Solutions Service S.A.C — solse.pe</w:t>
      </w:r>
    </w:p>
    <w:p>
      <w:pPr>
        <w:spacing w:before="80" w:after="80"/>
        <w:jc w:val="center"/>
      </w:pPr>
      <w:r>
        <w:rPr>
          <w:rFonts w:ascii="Arial" w:cs="Arial" w:eastAsia="Arial" w:hAnsi="Arial"/>
          <w:color w:val="404040"/>
          <w:sz w:val="20"/>
          <w:szCs w:val="20"/>
        </w:rPr>
        <w:t xml:space="preserve">Normativa: TUO LIGV (D.S. 055-99-EF) · RS 112-2021/SUNAT · RS 209-2007/SUNAT · D.Leg. 1278</w:t>
      </w:r>
    </w:p>
    <w:sectPr>
      <w:footerReference w:type="default" r:id="rId6"/>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Guía de Afectación en Compras — RCE   |   Página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de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2026-03-11T13:52:10.499Z</dcterms:created>
  <dcterms:modified xsi:type="dcterms:W3CDTF">2026-03-11T13:52:10.500Z</dcterms:modified>
</cp:coreProperties>
</file>

<file path=docProps/custom.xml><?xml version="1.0" encoding="utf-8"?>
<Properties xmlns="http://schemas.openxmlformats.org/officeDocument/2006/custom-properties" xmlns:vt="http://schemas.openxmlformats.org/officeDocument/2006/docPropsVTypes"/>
</file>