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b/>
          <w:sz w:val="28"/>
        </w:rPr>
        <w:t>RECUPERACIÓN DEL CICLO DEL AGUA EN VENEZUELA BAJO TRATADOS INTERNACIONALES E IMPLEMENTANDO TÉCNICAS DE GEOINGENIERÍA Y BIOLÓGICAS EN LOS ECOSISTEMAS DE ÁFRICA, EL ATLÁNTICO Y LAS COSTAS DE SUDAMÉRICA EN EL PACÍFICO</w:t>
      </w:r>
    </w:p>
    <w:p/>
    <w:p/>
    <w:p/>
    <w:p>
      <w:pPr>
        <w:jc w:val="center"/>
      </w:pPr>
      <w:r>
        <w:t>Proyecto factible de investigación</w:t>
      </w:r>
    </w:p>
    <w:p>
      <w:pPr>
        <w:jc w:val="center"/>
      </w:pPr>
      <w:r>
        <w:t>Autor: ______________________________</w:t>
      </w:r>
    </w:p>
    <w:p>
      <w:pPr>
        <w:jc w:val="center"/>
      </w:pPr>
      <w:r>
        <w:t>Institución: __________________________</w:t>
      </w:r>
    </w:p>
    <w:p>
      <w:pPr>
        <w:jc w:val="center"/>
      </w:pPr>
      <w:r>
        <w:t>Programa académico: __________________</w:t>
      </w:r>
    </w:p>
    <w:p>
      <w:pPr>
        <w:jc w:val="center"/>
      </w:pPr>
      <w:r>
        <w:t>Tutor(a): ____________________________</w:t>
      </w:r>
    </w:p>
    <w:p>
      <w:pPr>
        <w:jc w:val="center"/>
      </w:pPr>
      <w:r>
        <w:t>Lugar y fecha: _______________________</w:t>
      </w:r>
    </w:p>
    <w:p>
      <w:r>
        <w:br w:type="page"/>
      </w:r>
    </w:p>
    <w:p>
      <w:pPr>
        <w:pStyle w:val="Heading1"/>
      </w:pPr>
      <w:r>
        <w:t>Resumen</w:t>
      </w:r>
    </w:p>
    <w:p>
      <w:pPr>
        <w:ind w:firstLine="720"/>
      </w:pPr>
      <w:r>
        <w:rPr>
          <w:b w:val="0"/>
          <w:i w:val="0"/>
        </w:rPr>
        <w:t>El presente proyecto factible propone diseñar y evaluar un programa integrado de recuperación hídrica y restauración ecológica para Venezuela, articulado con mecanismos de cooperación internacional y con evidencia científica sobre las relaciones entre vegetación, evapotranspiración, circulación atmosférica, precipitación y disponibilidad de agua. La propuesta toma como marco inicial el documento aportado, que plantea un circuito ecológico entre África occidental, el Atlántico tropical y las cuencas de Sudamérica. Estas relaciones se tratarán como hipótesis de investigación y no como causalidades demostradas. El proyecto prioriza intervenciones de menor riesgo y beneficios verificables: restauración de cuencas y bosques ribereños venezolanos, recuperación de suelos, protección de humedales, monitoreo hidrometeorológico, modelación climática y cooperación técnica con iniciativas de restauración en África. Las técnicas de geoingeniería marina u otras intervenciones deliberadas sobre el océano se limitarán a revisión normativa, evaluación de riesgos y, si procede, investigación autorizada de pequeña escala; no se recomienda su despliegue operacional sin evidencia, permisos y evaluación ambiental. La metodología es aplicada, documental, descriptiva y evaluativa, organizada por fases durante 36 meses. Se incluyen objetivos, fundamentación teórica, marco jurídico internacional, plan de ejecución, recursos, presupuesto referencial, cronograma e indicadores. Se espera producir un diseño técnicamente evaluable que contribuya a la seguridad hídrica venezolana sin prometer controlar El Niño ni garantizar aumentos de lluvia.</w:t>
      </w:r>
    </w:p>
    <w:p>
      <w:r>
        <w:rPr>
          <w:b w:val="0"/>
          <w:i/>
        </w:rPr>
        <w:t>Palabras clave: seguridad hídrica, restauración ecológica, Venezuela, ciclo hidrológico, cooperación internacional, geoingeniería.</w:t>
      </w:r>
    </w:p>
    <w:p>
      <w:pPr>
        <w:pStyle w:val="Heading1"/>
      </w:pPr>
      <w:r>
        <w:t>Nota de alcance</w:t>
      </w:r>
    </w:p>
    <w:p>
      <w:r>
        <w:rPr>
          <w:b w:val="0"/>
          <w:i w:val="0"/>
        </w:rPr>
        <w:t>Este texto es una propuesta académica preliminar. Las metas cuantitativas y el presupuesto son estimaciones de planificación, no cotizaciones ni resultados experimentales. Antes de su presentación formal deberán añadirse los datos de autoría e institución, las normas específicas de la universidad y, cuando estén disponibles, datos oficiales de las cuencas seleccionadas.</w:t>
      </w:r>
    </w:p>
    <w:p>
      <w:r>
        <w:br w:type="page"/>
      </w:r>
    </w:p>
    <w:p>
      <w:pPr>
        <w:pStyle w:val="Heading1"/>
      </w:pPr>
      <w:r>
        <w:t>Introducción</w:t>
      </w:r>
    </w:p>
    <w:p>
      <w:pPr>
        <w:ind w:firstLine="720"/>
      </w:pPr>
      <w:r>
        <w:rPr>
          <w:b w:val="0"/>
          <w:i w:val="0"/>
        </w:rPr>
        <w:t>La seguridad hídrica depende de la interacción entre precipitación, infiltración, almacenamiento en suelos y acuíferos, escorrentía, vegetación, infraestructura y gestión pública. En Venezuela, las variaciones climáticas pueden agravar la presión sobre embalses, ríos, sistemas de abastecimiento, agricultura y generación hidroeléctrica. Por ello, una estrategia de recuperación del ciclo del agua debe combinar adaptación climática, restauración de ecosistemas, conservación de cuencas, monitoreo y cooperación internacional.</w:t>
      </w:r>
    </w:p>
    <w:p>
      <w:pPr>
        <w:ind w:firstLine="720"/>
      </w:pPr>
      <w:r>
        <w:rPr>
          <w:b w:val="0"/>
          <w:i w:val="0"/>
        </w:rPr>
        <w:t>El documento suministrado propone un circuito ecológico que relaciona la restauración de África occidental, la vegetación flotante del Atlántico y los bosques de Colombia, los Andes, los Llanos y las cuencas venezolanas. También plantea que estas intervenciones podrían fortalecer la humedad disponible para Venezuela durante episodios de El Niño. Esta idea resulta útil como hipótesis de trabajo, pero debe evaluarse con datos, modelos atmosféricos e hidrológicos y análisis de incertidumbre. El Niño-Oscilación del Sur (ENOS) se origina en el acoplamiento océano-atmósfera del Pacífico tropical y puede modificar patrones climáticos a gran escala; por tanto, restaurar otros ecosistemas no permite asumir que se neutralizará el fenómeno (National Oceanic and Atmospheric Administration [NOAA], s. f.).</w:t>
      </w:r>
    </w:p>
    <w:p>
      <w:pPr>
        <w:ind w:firstLine="720"/>
      </w:pPr>
      <w:r>
        <w:rPr>
          <w:b w:val="0"/>
          <w:i w:val="0"/>
        </w:rPr>
        <w:t>En consecuencia, el proyecto separa las acciones directamente ejecutables en Venezuela —restauración de cuencas, protección de nacientes, revegetación nativa, recuperación de suelos y seguimiento de agua— de las acciones internacionales que requieren acuerdos, permisos y pruebas científicas. La propuesta se alinea con objetivos de restauración de ecosistemas y con la precaución recomendada por los instrumentos internacionales para intervenciones de geoingeniería marina (Convention on Biological Diversity [CBD], 2022; International Maritime Organization [IMO], s. f.).</w:t>
      </w:r>
    </w:p>
    <w:p>
      <w:pPr>
        <w:pStyle w:val="Heading1"/>
      </w:pPr>
      <w:r>
        <w:t>Capítulo I. El problema</w:t>
      </w:r>
    </w:p>
    <w:p>
      <w:pPr>
        <w:pStyle w:val="Heading2"/>
      </w:pPr>
      <w:r>
        <w:t>Planteamiento del problema</w:t>
      </w:r>
    </w:p>
    <w:p>
      <w:pPr>
        <w:ind w:firstLine="720"/>
      </w:pPr>
      <w:r>
        <w:rPr>
          <w:b w:val="0"/>
          <w:i w:val="0"/>
        </w:rPr>
        <w:t>La irregularidad de las precipitaciones, las sequías, la degradación de suelos, la pérdida de cobertura vegetal, los incendios, la contaminación y las limitaciones de infraestructura pueden afectar la cantidad, calidad y continuidad del agua disponible. La respuesta pública suele requerir acciones coordinadas entre conservación ambiental, planificación territorial, agricultura, gestión de riesgos, investigación y servicios de agua.</w:t>
      </w:r>
    </w:p>
    <w:p>
      <w:pPr>
        <w:ind w:firstLine="720"/>
      </w:pPr>
      <w:r>
        <w:rPr>
          <w:b w:val="0"/>
          <w:i w:val="0"/>
        </w:rPr>
        <w:t>El problema central que aborda este proyecto es la ausencia, dentro del alcance de esta propuesta, de un programa integrado que vincule la restauración ecológica nacional con un sistema de monitoreo y evaluación hidrológica, y que permita analizar de forma verificable si la cooperación internacional y las hipótesis de conectividad atmosférica intercontinental aportan beneficios adicionales. La idea de un “escudo de humedad” debe tratarse como una metáfora del documento base y no como un efecto garantizado.</w:t>
      </w:r>
    </w:p>
    <w:p>
      <w:pPr>
        <w:ind w:firstLine="720"/>
      </w:pPr>
      <w:r>
        <w:rPr>
          <w:b w:val="0"/>
          <w:i w:val="0"/>
        </w:rPr>
        <w:t>El proyecto propone comenzar con áreas piloto venezolanas seleccionadas según disponibilidad de datos, presión hídrica, degradación y factibilidad institucional. Paralelamente, plantea cooperación técnica para compartir datos y aprendizajes con programas de restauración en África occidental y con redes científicas del Atlántico y del Pacífico sudamericano. La restauración ecológica puede mejorar funciones ecosistémicas y resiliencia, pero el efecto sobre la precipitación a escala regional o intercontinental depende de múltiples procesos y no debe presumirse.</w:t>
      </w:r>
    </w:p>
    <w:p>
      <w:pPr>
        <w:pStyle w:val="Heading2"/>
      </w:pPr>
      <w:r>
        <w:t>Formulación del problema</w:t>
      </w:r>
    </w:p>
    <w:p>
      <w:pPr>
        <w:ind w:firstLine="720"/>
      </w:pPr>
      <w:r>
        <w:rPr>
          <w:b w:val="0"/>
          <w:i w:val="0"/>
        </w:rPr>
        <w:t>¿Cómo diseñar un proyecto factible, jurídicamente compatible y científicamente evaluable que contribuya a la seguridad hídrica de Venezuela mediante restauración biológica de cuencas, monitoreo hidrometeorológico y cooperación internacional, mientras evalúa sin presuponer sus efectos las hipótesis de influencia de los ecosistemas de África occidental, el Atlántico tropical y las costas del Pacífico sudamericano?</w:t>
      </w:r>
    </w:p>
    <w:p>
      <w:pPr>
        <w:pStyle w:val="Heading2"/>
      </w:pPr>
      <w:r>
        <w:t>Preguntas de investigación</w:t>
      </w:r>
    </w:p>
    <w:p>
      <w:pPr>
        <w:pStyle w:val="ListBullet"/>
        <w:spacing w:line="480" w:lineRule="auto"/>
      </w:pPr>
      <w:r>
        <w:t>¿Qué ecosistemas y cuencas venezolanas deben priorizarse para una fase piloto de recuperación hídrica?</w:t>
      </w:r>
    </w:p>
    <w:p>
      <w:pPr>
        <w:pStyle w:val="ListBullet"/>
        <w:spacing w:line="480" w:lineRule="auto"/>
      </w:pPr>
      <w:r>
        <w:t>¿Qué técnicas biológicas y de restauración de suelos ofrecen beneficios locales medibles con menor riesgo ambiental?</w:t>
      </w:r>
    </w:p>
    <w:p>
      <w:pPr>
        <w:pStyle w:val="ListBullet"/>
        <w:spacing w:line="480" w:lineRule="auto"/>
      </w:pPr>
      <w:r>
        <w:t>¿Qué datos se necesitan para evaluar la relación entre restauración, evapotranspiración, circulación atmosférica y precipitación en Venezuela?</w:t>
      </w:r>
    </w:p>
    <w:p>
      <w:pPr>
        <w:pStyle w:val="ListBullet"/>
        <w:spacing w:line="480" w:lineRule="auto"/>
      </w:pPr>
      <w:r>
        <w:t>¿Qué tratados, acuerdos y mecanismos de cooperación internacional son pertinentes y qué obligaciones o salvaguardas deben verificarse?</w:t>
      </w:r>
    </w:p>
    <w:p>
      <w:pPr>
        <w:pStyle w:val="ListBullet"/>
        <w:spacing w:line="480" w:lineRule="auto"/>
      </w:pPr>
      <w:r>
        <w:t>¿Qué criterios técnicos, económicos, sociales y ambientales permitirían decidir si una intervención propuesta es factible?</w:t>
      </w:r>
    </w:p>
    <w:p>
      <w:pPr>
        <w:pStyle w:val="Heading2"/>
      </w:pPr>
      <w:r>
        <w:t>Objetivos de la investigación</w:t>
      </w:r>
    </w:p>
    <w:p>
      <w:pPr>
        <w:pStyle w:val="Heading3"/>
      </w:pPr>
      <w:r>
        <w:t>Objetivo general</w:t>
      </w:r>
    </w:p>
    <w:p>
      <w:pPr>
        <w:ind w:firstLine="720"/>
      </w:pPr>
      <w:r>
        <w:rPr>
          <w:b w:val="0"/>
          <w:i w:val="0"/>
        </w:rPr>
        <w:t>Diseñar un proyecto factible para contribuir a la recuperación y resiliencia del ciclo hidrológico en Venezuela mediante restauración ecológica y biológica de cuencas, monitoreo científico y cooperación internacional, incorporando la evaluación precautoria de hipótesis e intervenciones relacionadas con África occidental, el Atlántico tropical y las costas del Pacífico sudamericano.</w:t>
      </w:r>
    </w:p>
    <w:p>
      <w:pPr>
        <w:pStyle w:val="Heading3"/>
      </w:pPr>
      <w:r>
        <w:t>Objetivos específicos</w:t>
      </w:r>
    </w:p>
    <w:p>
      <w:pPr>
        <w:pStyle w:val="ListNumber"/>
        <w:spacing w:line="480" w:lineRule="auto"/>
      </w:pPr>
      <w:r>
        <w:t>Diagnosticar, a partir de fuentes oficiales y datos disponibles, las principales presiones sobre cuencas, cobertura vegetal, suelos y disponibilidad de agua en las áreas piloto venezolanas.</w:t>
      </w:r>
    </w:p>
    <w:p>
      <w:pPr>
        <w:pStyle w:val="ListNumber"/>
        <w:spacing w:line="480" w:lineRule="auto"/>
      </w:pPr>
      <w:r>
        <w:t>Analizar el marco teórico sobre ciclo hidrológico, evapotranspiración, restauración ecológica, variabilidad climática y ENOS, diferenciando mecanismos establecidos de hipótesis por comprobar.</w:t>
      </w:r>
    </w:p>
    <w:p>
      <w:pPr>
        <w:pStyle w:val="ListNumber"/>
        <w:spacing w:line="480" w:lineRule="auto"/>
      </w:pPr>
      <w:r>
        <w:t>Identificar técnicas biológicas adecuadas para las áreas piloto, tales como regeneración natural asistida, revegetación con especies nativas, protección de bosques ribereños, recuperación de humedales y prácticas de conservación de suelos.</w:t>
      </w:r>
    </w:p>
    <w:p>
      <w:pPr>
        <w:pStyle w:val="ListNumber"/>
        <w:spacing w:line="480" w:lineRule="auto"/>
      </w:pPr>
      <w:r>
        <w:t>Proponer un sistema de monitoreo con indicadores de precipitación, caudal, humedad del suelo, cobertura vegetal, calidad del agua y supervivencia de plantas.</w:t>
      </w:r>
    </w:p>
    <w:p>
      <w:pPr>
        <w:pStyle w:val="ListNumber"/>
        <w:spacing w:line="480" w:lineRule="auto"/>
      </w:pPr>
      <w:r>
        <w:t>Examinar tratados y marcos internacionales pertinentes para cooperación climática, biodiversidad, restauración de tierras y protección del medio marino.</w:t>
      </w:r>
    </w:p>
    <w:p>
      <w:pPr>
        <w:pStyle w:val="ListNumber"/>
        <w:spacing w:line="480" w:lineRule="auto"/>
      </w:pPr>
      <w:r>
        <w:t>Evaluar la factibilidad técnica, institucional, económica, ambiental y social de la propuesta, incluyendo un presupuesto preliminar y un cronograma de implementación.</w:t>
      </w:r>
    </w:p>
    <w:p>
      <w:pPr>
        <w:pStyle w:val="ListNumber"/>
        <w:spacing w:line="480" w:lineRule="auto"/>
      </w:pPr>
      <w:r>
        <w:t>Establecer un protocolo de investigación para evaluar mediante datos y modelación la posible relación entre las intervenciones ecológicas regionales y la disponibilidad de humedad en Venezuela, sin asumir causalidad anticipadamente.</w:t>
      </w:r>
    </w:p>
    <w:p>
      <w:pPr>
        <w:pStyle w:val="Heading2"/>
      </w:pPr>
      <w:r>
        <w:t>Justificación</w:t>
      </w:r>
    </w:p>
    <w:p>
      <w:pPr>
        <w:ind w:firstLine="720"/>
      </w:pPr>
      <w:r>
        <w:rPr>
          <w:b w:val="0"/>
          <w:i w:val="0"/>
        </w:rPr>
        <w:t>La propuesta se justifica por la necesidad de fortalecer la resiliencia de los sistemas de abastecimiento de agua, reducir la degradación de cuencas y generar información útil para la toma de decisiones. La restauración de ecosistemas terrestres, de agua dulce, costeros y marinos es un objetivo reconocido por el Marco Mundial de Biodiversidad de Kunming-Montreal, cuyo objetivo 2 plantea que para 2030 al menos el 30 % de las áreas degradadas de estos ecosistemas esté bajo restauración efectiva (CBD, 2022).</w:t>
      </w:r>
    </w:p>
    <w:p>
      <w:pPr>
        <w:ind w:firstLine="720"/>
      </w:pPr>
      <w:r>
        <w:rPr>
          <w:b w:val="0"/>
          <w:i w:val="0"/>
        </w:rPr>
        <w:t>En el ámbito social, el proyecto podría contribuir a la continuidad del abastecimiento y a la participación comunitaria en la protección de nacientes y riberas. En el ámbito ambiental, puede favorecer suelo, biodiversidad y regulación local de escorrentía. En el ámbito científico, propone construir una línea base que permita evaluar las hipótesis intercontinentales con datos reproducibles. En el ámbito institucional, facilitaría la coordinación entre organismos de agua, ambiente, universidades, comunidades y posibles socios internacionales.</w:t>
      </w:r>
    </w:p>
    <w:p>
      <w:pPr>
        <w:pStyle w:val="Heading2"/>
      </w:pPr>
      <w:r>
        <w:t>Alcance y delimitación</w:t>
      </w:r>
    </w:p>
    <w:p>
      <w:pPr>
        <w:ind w:firstLine="720"/>
      </w:pPr>
      <w:r>
        <w:rPr>
          <w:b w:val="0"/>
          <w:i w:val="0"/>
        </w:rPr>
        <w:t>La fase inicial se delimita a un conjunto de cuencas piloto venezolanas seleccionadas durante el diagnóstico. Las referencias a África occidental, Atlántico tropical y Pacífico sudamericano se incorporan como componentes de cooperación y análisis climático, no como zonas donde el proyecto pueda intervenir unilateralmente. El proyecto no promete controlar El Niño, aumentar la lluvia en un porcentaje predeterminado ni alterar corrientes oceánicas. Cualquier técnica de geoingeniería requeriría revisión jurídica, evaluación independiente de impactos y autorización expresa de las autoridades competentes.</w:t>
      </w:r>
    </w:p>
    <w:p>
      <w:pPr>
        <w:pStyle w:val="Heading1"/>
      </w:pPr>
      <w:r>
        <w:t>Capítulo II. Marco teórico</w:t>
      </w:r>
    </w:p>
    <w:p>
      <w:pPr>
        <w:pStyle w:val="Heading2"/>
      </w:pPr>
      <w:r>
        <w:t>Antecedente conceptual aportado por el documento base</w:t>
      </w:r>
    </w:p>
    <w:p>
      <w:pPr>
        <w:ind w:firstLine="720"/>
      </w:pPr>
      <w:r>
        <w:rPr>
          <w:b w:val="0"/>
          <w:i w:val="0"/>
        </w:rPr>
        <w:t>El PDF del usuario presenta tres componentes: (a) restauración de vegetación en África occidental y el Sahel, vinculada a la evapotranspiración y a la formación de ondas tropicales; (b) estudio de vegetación marina flotante, incluyendo sargazo, en el Atlántico tropical; y (c) restauración de bosques y cuencas en el occidente de Sudamérica y Venezuela. El documento plantea que estos componentes podrían contribuir a la disponibilidad de humedad y a la resiliencia hídrica venezolana. Esta organización se conserva como hipótesis orientadora, pero sus afirmaciones causales deberán verificarse y no se consideran resultados científicos demostrados.</w:t>
      </w:r>
    </w:p>
    <w:p>
      <w:pPr>
        <w:pStyle w:val="Heading2"/>
      </w:pPr>
      <w:r>
        <w:t>El ciclo hidrológico</w:t>
      </w:r>
    </w:p>
    <w:p>
      <w:pPr>
        <w:ind w:firstLine="720"/>
      </w:pPr>
      <w:r>
        <w:rPr>
          <w:b w:val="0"/>
          <w:i w:val="0"/>
        </w:rPr>
        <w:t>El ciclo hidrológico comprende evaporación desde superficies de agua y suelos, transpiración vegetal, condensación, transporte atmosférico, precipitación, infiltración, almacenamiento, escorrentía y retorno del agua a ríos y océanos. La vegetación puede modificar la infiltración, la rugosidad de la superficie, la sombra, la evapotranspiración y la estabilidad del suelo. El efecto neto sobre caudales y lluvias depende del clima, tipo de vegetación, suelo, topografía y escala temporal; por ello, plantar árboles no equivale automáticamente a incrementar el caudal disponible.</w:t>
      </w:r>
    </w:p>
    <w:p>
      <w:pPr>
        <w:pStyle w:val="Heading2"/>
      </w:pPr>
      <w:r>
        <w:t>Restauración ecológica y soluciones basadas en la naturaleza</w:t>
      </w:r>
    </w:p>
    <w:p>
      <w:pPr>
        <w:ind w:firstLine="720"/>
      </w:pPr>
      <w:r>
        <w:rPr>
          <w:b w:val="0"/>
          <w:i w:val="0"/>
        </w:rPr>
        <w:t>La restauración ecológica busca recuperar estructura, composición, procesos y funciones de ecosistemas degradados. En cuencas, las medidas potenciales incluyen protección de bosques remanentes, regeneración natural asistida, revegetación con especies nativas, recuperación de franjas ribereñas, control de erosión, manejo de incendios, restauración de humedales y prácticas agroforestales adaptadas al territorio. La selección debe partir de la ecología local, disponibilidad de agua, derechos comunitarios y prevención de especies invasoras.</w:t>
      </w:r>
    </w:p>
    <w:p>
      <w:pPr>
        <w:ind w:firstLine="720"/>
      </w:pPr>
      <w:r>
        <w:rPr>
          <w:b w:val="0"/>
          <w:i w:val="0"/>
        </w:rPr>
        <w:t>La iniciativa Gran Muralla Verde africana, impulsada por países africanos y socios internacionales, tiene como propósito restaurar paisajes degradados del Sahel y apoyar la resiliencia, los medios de vida y la recuperación de tierras (United Nations Convention to Combat Desertification [UNCCD], s. f.). Para este proyecto, constituye un posible referente de cooperación y aprendizaje, pero no prueba por sí misma que la restauración del Sahel incremente las lluvias sobre Venezuela.</w:t>
      </w:r>
    </w:p>
    <w:p>
      <w:pPr>
        <w:pStyle w:val="Heading2"/>
      </w:pPr>
      <w:r>
        <w:t>Vegetación, evapotranspiración y transporte de humedad</w:t>
      </w:r>
    </w:p>
    <w:p>
      <w:pPr>
        <w:ind w:firstLine="720"/>
      </w:pPr>
      <w:r>
        <w:rPr>
          <w:b w:val="0"/>
          <w:i w:val="0"/>
        </w:rPr>
        <w:t>La evapotranspiración devuelve agua a la atmósfera desde la vegetación y el suelo. La humedad atmosférica puede ser transportada por vientos y sistemas meteorológicos a grandes distancias, pero el lugar y momento de la precipitación dependen también de circulación atmosférica, estabilidad, temperatura, aerosoles, relieve y condiciones oceánicas. Para estimar aportes de humedad de una región a otra se requieren reanálisis, observaciones satelitales, estaciones meteorológicas, trazadores de humedad y modelos climáticos.</w:t>
      </w:r>
    </w:p>
    <w:p>
      <w:pPr>
        <w:ind w:firstLine="720"/>
      </w:pPr>
      <w:r>
        <w:rPr>
          <w:b w:val="0"/>
          <w:i w:val="0"/>
        </w:rPr>
        <w:t>El concepto de “bomba biótica” aparece en el documento aportado como explicación del posible papel de los bosques en la dinámica atmosférica. En este proyecto se presentará como un planteamiento discutido que requiere revisión crítica y no como mecanismo aceptado que permita garantizar lluvia. Se evaluarán variables medibles —evapotranspiración, humedad del suelo, cobertura vegetal, transporte integrado de vapor de agua y precipitación— y se evitará inferir causalidad solo por coincidencia temporal.</w:t>
      </w:r>
    </w:p>
    <w:p>
      <w:pPr>
        <w:pStyle w:val="Heading2"/>
      </w:pPr>
      <w:r>
        <w:t>El Niño-Oscilación del Sur y Venezuela</w:t>
      </w:r>
    </w:p>
    <w:p>
      <w:pPr>
        <w:ind w:firstLine="720"/>
      </w:pPr>
      <w:r>
        <w:rPr>
          <w:b w:val="0"/>
          <w:i w:val="0"/>
        </w:rPr>
        <w:t>El Niño es la fase cálida del sistema acoplado océano-atmósfera del Pacífico tropical. Sus variaciones modifican la circulación y la precipitación en diversas regiones, con impactos que dependen de la época del año y de la configuración del evento (NOAA, s. f.). Una intervención en el Atlántico o en ecosistemas terrestres no debe presentarse como método para detener El Niño. La propuesta se orienta a reducir vulnerabilidad hídrica, mejorar la gestión local y estudiar si determinadas medidas modifican impactos regionales, reconociendo incertidumbre climática.</w:t>
      </w:r>
    </w:p>
    <w:p>
      <w:pPr>
        <w:pStyle w:val="Heading2"/>
      </w:pPr>
      <w:r>
        <w:t>Geoingeniería y gobernanza marina</w:t>
      </w:r>
    </w:p>
    <w:p>
      <w:pPr>
        <w:ind w:firstLine="720"/>
      </w:pPr>
      <w:r>
        <w:rPr>
          <w:b w:val="0"/>
          <w:i w:val="0"/>
        </w:rPr>
        <w:t>La geoingeniería marina comprende intervenciones deliberadas en el medio marino con potencial de efectos extensos o duraderos. La Organización Marítima Internacional informa que el Convenio de Londres y el Protocolo de Londres constituyen marcos internacionales explícitos para abordar determinadas actividades de geoingeniería marina. Las partes han adoptado un enfoque de precaución, y la fertilización oceánica no destinada a investigación científica legítima no debe permitirse bajo las resoluciones aplicables (IMO, s. f.).</w:t>
      </w:r>
    </w:p>
    <w:p>
      <w:pPr>
        <w:ind w:firstLine="720"/>
      </w:pPr>
      <w:r>
        <w:rPr>
          <w:b w:val="0"/>
          <w:i w:val="0"/>
        </w:rPr>
        <w:t>Por tanto, este proyecto no recomienda dispersar nutrientes, cultivar sargazo a gran escala ni modificar nubes o aguas oceánicas como acciones operativas iniciales. La opción factible es evaluar la literatura, analizar riesgos y jurisdicción, consultar autoridades y comunidades, y considerar únicamente investigación autorizada y supervisada. El control del sargazo, cuando sea pertinente, deberá priorizar gestión costera basada en evidencia, protección de hábitats y disposición segura de biomasa.</w:t>
      </w:r>
    </w:p>
    <w:p>
      <w:pPr>
        <w:pStyle w:val="Heading2"/>
      </w:pPr>
      <w:r>
        <w:t>Marco jurídico y cooperación internacional</w:t>
      </w:r>
    </w:p>
    <w:p>
      <w:pPr>
        <w:ind w:firstLine="720"/>
      </w:pPr>
      <w:r>
        <w:rPr>
          <w:b w:val="0"/>
          <w:i w:val="0"/>
        </w:rPr>
        <w:t>El proyecto deberá verificar la condición de Venezuela respecto de cada instrumento internacional, sus reservas, protocolos y legislación de implementación antes de atribuir obligaciones jurídicas concretas. Entre los marcos relevantes para análisis se encuentran:</w:t>
      </w:r>
    </w:p>
    <w:p>
      <w:pPr>
        <w:pStyle w:val="ListBullet"/>
        <w:spacing w:line="480" w:lineRule="auto"/>
      </w:pPr>
      <w:r>
        <w:t>Convención Marco de las Naciones Unidas sobre el Cambio Climático y Acuerdo de París: cooperación climática, adaptación, fortalecimiento de capacidades y planificación nacional. La aplicabilidad concreta debe revisarse en los textos oficiales y registros de participación estatal.</w:t>
      </w:r>
    </w:p>
    <w:p>
      <w:pPr>
        <w:pStyle w:val="ListBullet"/>
        <w:spacing w:line="480" w:lineRule="auto"/>
      </w:pPr>
      <w:r>
        <w:t>Convenio sobre la Diversidad Biológica y Marco Mundial de Biodiversidad de Kunming-Montreal: conservación, restauración, conectividad ecológica, participación y seguimiento de resultados (CBD, 2022).</w:t>
      </w:r>
    </w:p>
    <w:p>
      <w:pPr>
        <w:pStyle w:val="ListBullet"/>
        <w:spacing w:line="480" w:lineRule="auto"/>
      </w:pPr>
      <w:r>
        <w:t>Convención de las Naciones Unidas de Lucha contra la Desertificación: cooperación para combatir degradación de tierras y sequía; pertinente como referencia para restauración de suelos y aprendizaje del Sahel (UNCCD, s. f.).</w:t>
      </w:r>
    </w:p>
    <w:p>
      <w:pPr>
        <w:pStyle w:val="ListBullet"/>
        <w:spacing w:line="480" w:lineRule="auto"/>
      </w:pPr>
      <w:r>
        <w:t>Convenio de Londres de 1972 y Protocolo de Londres de 1996: instrumentos que deben examinarse antes de cualquier propuesta de intervención o vertido en el medio marino, en especial técnicas de geoingeniería marina (IMO, s. f.).</w:t>
      </w:r>
    </w:p>
    <w:p>
      <w:pPr>
        <w:pStyle w:val="ListBullet"/>
        <w:spacing w:line="480" w:lineRule="auto"/>
      </w:pPr>
      <w:r>
        <w:t>Convención de las Naciones Unidas sobre el Derecho del Mar y otros acuerdos marinos aplicables: deben revisarse con asesoría jurídica para delimitar jurisdicción, evaluación de impactos y cooperación en áreas marinas.</w:t>
      </w:r>
    </w:p>
    <w:p>
      <w:pPr>
        <w:pStyle w:val="ListBullet"/>
        <w:spacing w:line="480" w:lineRule="auto"/>
      </w:pPr>
      <w:r>
        <w:t>Agenda 2030, especialmente los Objetivos de Desarrollo Sostenible 6, 13, 14 y 15, como marco de alineación de políticas sobre agua, clima, océanos y ecosistemas terrestres.</w:t>
      </w:r>
    </w:p>
    <w:p>
      <w:r>
        <w:rPr>
          <w:b w:val="0"/>
          <w:i w:val="0"/>
        </w:rPr>
        <w:t>La existencia de un tratado no significa que autorice automáticamente una intervención concreta. Se necesitarán análisis de competencias, permisos ambientales, evaluación de impacto, consulta pública y, cuando corresponda, acuerdos bilaterales o multilaterales.</w:t>
      </w:r>
    </w:p>
    <w:p>
      <w:pPr>
        <w:pStyle w:val="Heading2"/>
      </w:pPr>
      <w:r>
        <w:t>Definición de términos básicos</w:t>
      </w:r>
    </w:p>
    <w:p>
      <w:pPr>
        <w:ind w:firstLine="0"/>
      </w:pPr>
      <w:r>
        <w:rPr>
          <w:b/>
        </w:rPr>
        <w:t xml:space="preserve">Seguridad hídrica. </w:t>
      </w:r>
      <w:r>
        <w:t>Capacidad de una población para acceder de forma sostenible a agua suficiente y de calidad, reduciendo riesgos relacionados con sequías, inundaciones y contaminación.</w:t>
      </w:r>
    </w:p>
    <w:p>
      <w:pPr>
        <w:ind w:firstLine="0"/>
      </w:pPr>
      <w:r>
        <w:rPr>
          <w:b/>
        </w:rPr>
        <w:t xml:space="preserve">Restauración ecológica. </w:t>
      </w:r>
      <w:r>
        <w:t>Proceso de apoyar la recuperación de un ecosistema degradado, dañado o destruido.</w:t>
      </w:r>
    </w:p>
    <w:p>
      <w:pPr>
        <w:ind w:firstLine="0"/>
      </w:pPr>
      <w:r>
        <w:rPr>
          <w:b/>
        </w:rPr>
        <w:t xml:space="preserve">Evapotranspiración. </w:t>
      </w:r>
      <w:r>
        <w:t>Transferencia conjunta de agua hacia la atmósfera por evaporación y transpiración vegetal.</w:t>
      </w:r>
    </w:p>
    <w:p>
      <w:pPr>
        <w:ind w:firstLine="0"/>
      </w:pPr>
      <w:r>
        <w:rPr>
          <w:b/>
        </w:rPr>
        <w:t xml:space="preserve">ENOS/ENSO. </w:t>
      </w:r>
      <w:r>
        <w:t>Sistema climático acoplado océano-atmósfera del Pacífico tropical que incluye las fases El Niño, La Niña y condiciones neutrales.</w:t>
      </w:r>
    </w:p>
    <w:p>
      <w:pPr>
        <w:ind w:firstLine="0"/>
      </w:pPr>
      <w:r>
        <w:rPr>
          <w:b/>
        </w:rPr>
        <w:t xml:space="preserve">Geoingeniería marina. </w:t>
      </w:r>
      <w:r>
        <w:t>Intervención deliberada en el medio marino para manipular procesos naturales, con posibles efectos ambientales extensos o duraderos.</w:t>
      </w:r>
    </w:p>
    <w:p>
      <w:pPr>
        <w:ind w:firstLine="0"/>
      </w:pPr>
      <w:r>
        <w:rPr>
          <w:b/>
        </w:rPr>
        <w:t xml:space="preserve">Proyecto factible. </w:t>
      </w:r>
      <w:r>
        <w:t>Propuesta aplicada que formula una solución y analiza su factibilidad técnica, institucional, económica, social y ambiental.</w:t>
      </w:r>
    </w:p>
    <w:p>
      <w:pPr>
        <w:pStyle w:val="Heading1"/>
      </w:pPr>
      <w:r>
        <w:t>Capítulo III. Marco metodológico</w:t>
      </w:r>
    </w:p>
    <w:p>
      <w:pPr>
        <w:pStyle w:val="Heading2"/>
      </w:pPr>
      <w:r>
        <w:t>Tipo y diseño de investigación</w:t>
      </w:r>
    </w:p>
    <w:p>
      <w:pPr>
        <w:ind w:firstLine="720"/>
      </w:pPr>
      <w:r>
        <w:rPr>
          <w:b w:val="0"/>
          <w:i w:val="0"/>
        </w:rPr>
        <w:t>Se plantea una investigación aplicada, de campo y documental, con alcance descriptivo y evaluativo, organizada como proyecto factible. En la fase documental se revisarán artículos científicos, informes técnicos, tratados, legislación y bases oficiales. En la fase de campo se levantará una línea base de las áreas piloto, sujeto a autorizaciones y disponibilidad de recursos. El componente evaluativo comparará indicadores antes y después de las intervenciones y, cuando sea viable, utilizará áreas de referencia o diseños antes-después con control.</w:t>
      </w:r>
    </w:p>
    <w:p>
      <w:pPr>
        <w:pStyle w:val="Heading2"/>
      </w:pPr>
      <w:r>
        <w:t>Fases del proyecto</w:t>
      </w:r>
    </w:p>
    <w:p>
      <w:pPr>
        <w:pStyle w:val="ListNumber"/>
        <w:spacing w:line="480" w:lineRule="auto"/>
      </w:pPr>
      <w:r>
        <w:t>Fase 1. Diagnóstico y selección: inventario de cuencas, cobertura vegetal, fuentes de agua, amenazas, actores y disponibilidad de datos.</w:t>
      </w:r>
    </w:p>
    <w:p>
      <w:pPr>
        <w:pStyle w:val="ListNumber"/>
        <w:spacing w:line="480" w:lineRule="auto"/>
      </w:pPr>
      <w:r>
        <w:t>Fase 2. Línea base: recopilación de precipitación, caudal, humedad del suelo, calidad del agua, cobertura vegetal y uso del suelo; instalación o validación de estaciones cuando proceda.</w:t>
      </w:r>
    </w:p>
    <w:p>
      <w:pPr>
        <w:pStyle w:val="ListNumber"/>
        <w:spacing w:line="480" w:lineRule="auto"/>
      </w:pPr>
      <w:r>
        <w:t>Fase 3. Diseño participativo: selección de intervenciones con comunidades, autoridades, universidades y especialistas; identificación de permisos y salvaguardas.</w:t>
      </w:r>
    </w:p>
    <w:p>
      <w:pPr>
        <w:pStyle w:val="ListNumber"/>
        <w:spacing w:line="480" w:lineRule="auto"/>
      </w:pPr>
      <w:r>
        <w:t>Fase 4. Implementación piloto: restauración biológica y de suelos en sitios seleccionados, capacitación y monitoreo.</w:t>
      </w:r>
    </w:p>
    <w:p>
      <w:pPr>
        <w:pStyle w:val="ListNumber"/>
        <w:spacing w:line="480" w:lineRule="auto"/>
      </w:pPr>
      <w:r>
        <w:t>Fase 5. Evaluación: análisis de cambios, costos, riesgos y resultados; modelación exploratoria de transporte de humedad y escenarios climáticos.</w:t>
      </w:r>
    </w:p>
    <w:p>
      <w:pPr>
        <w:pStyle w:val="ListNumber"/>
        <w:spacing w:line="480" w:lineRule="auto"/>
      </w:pPr>
      <w:r>
        <w:t>Fase 6. Escalamiento y cooperación: informe de resultados, propuesta de financiamiento y acuerdos de colaboración.</w:t>
      </w:r>
    </w:p>
    <w:p>
      <w:pPr>
        <w:pStyle w:val="Heading2"/>
      </w:pPr>
      <w:r>
        <w:t>Población, unidades de análisis y selección</w:t>
      </w:r>
    </w:p>
    <w:p>
      <w:pPr>
        <w:ind w:firstLine="720"/>
      </w:pPr>
      <w:r>
        <w:rPr>
          <w:b w:val="0"/>
          <w:i w:val="0"/>
        </w:rPr>
        <w:t>La unidad de análisis principal serán las cuencas y microcuencas piloto en Venezuela. La selección se realizará mediante criterios transparentes: importancia para abastecimiento, degradación documentada, riesgo climático, viabilidad de acceso, disponibilidad de datos, posibilidad de participación comunitaria y factibilidad de permisos. No se fija una lista definitiva de cuencas hasta realizar el diagnóstico.</w:t>
      </w:r>
    </w:p>
    <w:p>
      <w:pPr>
        <w:pStyle w:val="Heading2"/>
      </w:pPr>
      <w:r>
        <w:t>Técnicas e instrumentos</w:t>
      </w:r>
    </w:p>
    <w:p>
      <w:pPr>
        <w:pStyle w:val="ListBullet"/>
        <w:spacing w:line="480" w:lineRule="auto"/>
      </w:pPr>
      <w:r>
        <w:t>Revisión documental mediante matriz de fuentes, marco jurídico y calidad de evidencia.</w:t>
      </w:r>
    </w:p>
    <w:p>
      <w:pPr>
        <w:pStyle w:val="ListBullet"/>
        <w:spacing w:line="480" w:lineRule="auto"/>
      </w:pPr>
      <w:r>
        <w:t>Observación y registro de campo mediante fichas estandarizadas, georreferenciación y fotografías autorizadas.</w:t>
      </w:r>
    </w:p>
    <w:p>
      <w:pPr>
        <w:pStyle w:val="ListBullet"/>
        <w:spacing w:line="480" w:lineRule="auto"/>
      </w:pPr>
      <w:r>
        <w:t>Medición hidrometeorológica mediante estaciones existentes, pluviómetros, aforos, sensores de humedad del suelo y análisis de calidad del agua según protocolos aprobados.</w:t>
      </w:r>
    </w:p>
    <w:p>
      <w:pPr>
        <w:pStyle w:val="ListBullet"/>
        <w:spacing w:line="480" w:lineRule="auto"/>
      </w:pPr>
      <w:r>
        <w:t>Teledetección y sistemas de información geográfica para cobertura vegetal, cambios de uso del suelo, cicatrices de incendios y extensión de humedales.</w:t>
      </w:r>
    </w:p>
    <w:p>
      <w:pPr>
        <w:pStyle w:val="ListBullet"/>
        <w:spacing w:line="480" w:lineRule="auto"/>
      </w:pPr>
      <w:r>
        <w:t>Entrevistas semiestructuradas y talleres participativos con autoridades, comunidades y usuarios del agua, con consentimiento informado.</w:t>
      </w:r>
    </w:p>
    <w:p>
      <w:pPr>
        <w:pStyle w:val="ListBullet"/>
        <w:spacing w:line="480" w:lineRule="auto"/>
      </w:pPr>
      <w:r>
        <w:t>Modelación y análisis estadístico para examinar relaciones entre cobertura, evapotranspiración, transporte de humedad, precipitación y caudales, reportando incertidumbre.</w:t>
      </w:r>
    </w:p>
    <w:p>
      <w:pPr>
        <w:pStyle w:val="Heading2"/>
      </w:pPr>
      <w:r>
        <w:t>Validez, confiabilidad y ética</w:t>
      </w:r>
    </w:p>
    <w:p>
      <w:pPr>
        <w:ind w:firstLine="720"/>
      </w:pPr>
      <w:r>
        <w:rPr>
          <w:b w:val="0"/>
          <w:i w:val="0"/>
        </w:rPr>
        <w:t>Los instrumentos deberán ser revisados por especialistas y probados en un área piloto. Se documentarán calibración, frecuencia de muestreo, datos faltantes y limitaciones. La participación comunitaria deberá ser voluntaria e informada. Se respetarán derechos territoriales, conocimientos tradicionales y procedimientos de consulta aplicables. No se realizarán intervenciones marinas o atmosféricas experimentales sin autorización, revisión ética y ambiental y protocolos de seguridad.</w:t>
      </w:r>
    </w:p>
    <w:p>
      <w:pPr>
        <w:pStyle w:val="Heading2"/>
      </w:pPr>
      <w:r>
        <w:t>Variables e indicadores</w:t>
      </w:r>
    </w:p>
    <w:tbl>
      <w:tblPr>
        <w:tblStyle w:val="TableGrid"/>
        <w:tblW w:type="auto" w:w="0"/>
        <w:jc w:val="center"/>
        <w:tblLook w:firstColumn="1" w:firstRow="1" w:lastColumn="0" w:lastRow="0" w:noHBand="0" w:noVBand="1" w:val="04A0"/>
      </w:tblPr>
      <w:tblGrid>
        <w:gridCol w:w="3120"/>
        <w:gridCol w:w="3120"/>
        <w:gridCol w:w="3120"/>
      </w:tblGrid>
      <w:tr>
        <w:trPr>
          <w:cantSplit/>
        </w:trPr>
        <w:tc>
          <w:tcPr>
            <w:tcW w:type="dxa" w:w="3120"/>
          </w:tcPr>
          <w:p>
            <w:pPr>
              <w:spacing w:line="240" w:lineRule="auto" w:after="40"/>
            </w:pPr>
            <w:r>
              <w:rPr>
                <w:rFonts w:ascii="Times New Roman" w:hAnsi="Times New Roman"/>
                <w:sz w:val="18"/>
              </w:rPr>
              <w:t>Dimensión</w:t>
            </w:r>
          </w:p>
        </w:tc>
        <w:tc>
          <w:tcPr>
            <w:tcW w:type="dxa" w:w="3120"/>
          </w:tcPr>
          <w:p>
            <w:pPr>
              <w:spacing w:line="240" w:lineRule="auto" w:after="40"/>
            </w:pPr>
            <w:r>
              <w:rPr>
                <w:rFonts w:ascii="Times New Roman" w:hAnsi="Times New Roman"/>
                <w:sz w:val="18"/>
              </w:rPr>
              <w:t>Indicadores propuestos</w:t>
            </w:r>
          </w:p>
        </w:tc>
        <w:tc>
          <w:tcPr>
            <w:tcW w:type="dxa" w:w="3120"/>
          </w:tcPr>
          <w:p>
            <w:pPr>
              <w:spacing w:line="240" w:lineRule="auto" w:after="40"/>
            </w:pPr>
            <w:r>
              <w:rPr>
                <w:rFonts w:ascii="Times New Roman" w:hAnsi="Times New Roman"/>
                <w:sz w:val="18"/>
              </w:rPr>
              <w:t>Método/frecuencia</w:t>
            </w:r>
          </w:p>
        </w:tc>
      </w:tr>
      <w:tr>
        <w:trPr>
          <w:cantSplit/>
        </w:trPr>
        <w:tc>
          <w:tcPr>
            <w:tcW w:type="dxa" w:w="3120"/>
            <w:vAlign w:val="center"/>
          </w:tcPr>
          <w:p>
            <w:pPr>
              <w:spacing w:line="240" w:lineRule="auto" w:after="40"/>
            </w:pPr>
            <w:r>
              <w:rPr>
                <w:rFonts w:ascii="Times New Roman" w:hAnsi="Times New Roman"/>
                <w:sz w:val="18"/>
              </w:rPr>
              <w:t>Cobertura y restauración</w:t>
            </w:r>
          </w:p>
        </w:tc>
        <w:tc>
          <w:tcPr>
            <w:tcW w:type="dxa" w:w="3120"/>
            <w:vAlign w:val="center"/>
          </w:tcPr>
          <w:p>
            <w:pPr>
              <w:spacing w:line="240" w:lineRule="auto" w:after="40"/>
            </w:pPr>
            <w:r>
              <w:rPr>
                <w:rFonts w:ascii="Times New Roman" w:hAnsi="Times New Roman"/>
                <w:sz w:val="18"/>
              </w:rPr>
              <w:t>Hectáreas bajo restauración; supervivencia de plantas; cobertura nativa; regeneración natural</w:t>
            </w:r>
          </w:p>
        </w:tc>
        <w:tc>
          <w:tcPr>
            <w:tcW w:type="dxa" w:w="3120"/>
            <w:vAlign w:val="center"/>
          </w:tcPr>
          <w:p>
            <w:pPr>
              <w:spacing w:line="240" w:lineRule="auto" w:after="40"/>
            </w:pPr>
            <w:r>
              <w:rPr>
                <w:rFonts w:ascii="Times New Roman" w:hAnsi="Times New Roman"/>
                <w:sz w:val="18"/>
              </w:rPr>
              <w:t>SIG y parcelas; semestral</w:t>
            </w:r>
          </w:p>
        </w:tc>
      </w:tr>
      <w:tr>
        <w:trPr>
          <w:cantSplit/>
        </w:trPr>
        <w:tc>
          <w:tcPr>
            <w:tcW w:type="dxa" w:w="3120"/>
            <w:vAlign w:val="center"/>
          </w:tcPr>
          <w:p>
            <w:pPr>
              <w:spacing w:line="240" w:lineRule="auto" w:after="40"/>
            </w:pPr>
            <w:r>
              <w:rPr>
                <w:rFonts w:ascii="Times New Roman" w:hAnsi="Times New Roman"/>
                <w:sz w:val="18"/>
              </w:rPr>
              <w:t>Agua superficial</w:t>
            </w:r>
          </w:p>
        </w:tc>
        <w:tc>
          <w:tcPr>
            <w:tcW w:type="dxa" w:w="3120"/>
            <w:vAlign w:val="center"/>
          </w:tcPr>
          <w:p>
            <w:pPr>
              <w:spacing w:line="240" w:lineRule="auto" w:after="40"/>
            </w:pPr>
            <w:r>
              <w:rPr>
                <w:rFonts w:ascii="Times New Roman" w:hAnsi="Times New Roman"/>
                <w:sz w:val="18"/>
              </w:rPr>
              <w:t>Caudal; días con flujo; nivel de embalse cuando exista acceso</w:t>
            </w:r>
          </w:p>
        </w:tc>
        <w:tc>
          <w:tcPr>
            <w:tcW w:type="dxa" w:w="3120"/>
            <w:vAlign w:val="center"/>
          </w:tcPr>
          <w:p>
            <w:pPr>
              <w:spacing w:line="240" w:lineRule="auto" w:after="40"/>
            </w:pPr>
            <w:r>
              <w:rPr>
                <w:rFonts w:ascii="Times New Roman" w:hAnsi="Times New Roman"/>
                <w:sz w:val="18"/>
              </w:rPr>
              <w:t>Aforos/estaciones; mensual o según protocolo</w:t>
            </w:r>
          </w:p>
        </w:tc>
      </w:tr>
      <w:tr>
        <w:trPr>
          <w:cantSplit/>
        </w:trPr>
        <w:tc>
          <w:tcPr>
            <w:tcW w:type="dxa" w:w="3120"/>
            <w:vAlign w:val="center"/>
          </w:tcPr>
          <w:p>
            <w:pPr>
              <w:spacing w:line="240" w:lineRule="auto" w:after="40"/>
            </w:pPr>
            <w:r>
              <w:rPr>
                <w:rFonts w:ascii="Times New Roman" w:hAnsi="Times New Roman"/>
                <w:sz w:val="18"/>
              </w:rPr>
              <w:t>Clima local</w:t>
            </w:r>
          </w:p>
        </w:tc>
        <w:tc>
          <w:tcPr>
            <w:tcW w:type="dxa" w:w="3120"/>
            <w:vAlign w:val="center"/>
          </w:tcPr>
          <w:p>
            <w:pPr>
              <w:spacing w:line="240" w:lineRule="auto" w:after="40"/>
            </w:pPr>
            <w:r>
              <w:rPr>
                <w:rFonts w:ascii="Times New Roman" w:hAnsi="Times New Roman"/>
                <w:sz w:val="18"/>
              </w:rPr>
              <w:t>Precipitación; temperatura; humedad relativa; eventos extremos</w:t>
            </w:r>
          </w:p>
        </w:tc>
        <w:tc>
          <w:tcPr>
            <w:tcW w:type="dxa" w:w="3120"/>
            <w:vAlign w:val="center"/>
          </w:tcPr>
          <w:p>
            <w:pPr>
              <w:spacing w:line="240" w:lineRule="auto" w:after="40"/>
            </w:pPr>
            <w:r>
              <w:rPr>
                <w:rFonts w:ascii="Times New Roman" w:hAnsi="Times New Roman"/>
                <w:sz w:val="18"/>
              </w:rPr>
              <w:t>Estaciones y datos oficiales; diario/mensual</w:t>
            </w:r>
          </w:p>
        </w:tc>
      </w:tr>
      <w:tr>
        <w:trPr>
          <w:cantSplit/>
        </w:trPr>
        <w:tc>
          <w:tcPr>
            <w:tcW w:type="dxa" w:w="3120"/>
            <w:vAlign w:val="center"/>
          </w:tcPr>
          <w:p>
            <w:pPr>
              <w:spacing w:line="240" w:lineRule="auto" w:after="40"/>
            </w:pPr>
            <w:r>
              <w:rPr>
                <w:rFonts w:ascii="Times New Roman" w:hAnsi="Times New Roman"/>
                <w:sz w:val="18"/>
              </w:rPr>
              <w:t>Suelo</w:t>
            </w:r>
          </w:p>
        </w:tc>
        <w:tc>
          <w:tcPr>
            <w:tcW w:type="dxa" w:w="3120"/>
            <w:vAlign w:val="center"/>
          </w:tcPr>
          <w:p>
            <w:pPr>
              <w:spacing w:line="240" w:lineRule="auto" w:after="40"/>
            </w:pPr>
            <w:r>
              <w:rPr>
                <w:rFonts w:ascii="Times New Roman" w:hAnsi="Times New Roman"/>
                <w:sz w:val="18"/>
              </w:rPr>
              <w:t>Humedad; erosión visible; infiltración en sitios de muestreo</w:t>
            </w:r>
          </w:p>
        </w:tc>
        <w:tc>
          <w:tcPr>
            <w:tcW w:type="dxa" w:w="3120"/>
            <w:vAlign w:val="center"/>
          </w:tcPr>
          <w:p>
            <w:pPr>
              <w:spacing w:line="240" w:lineRule="auto" w:after="40"/>
            </w:pPr>
            <w:r>
              <w:rPr>
                <w:rFonts w:ascii="Times New Roman" w:hAnsi="Times New Roman"/>
                <w:sz w:val="18"/>
              </w:rPr>
              <w:t>Sensores y parcelas; trimestral</w:t>
            </w:r>
          </w:p>
        </w:tc>
      </w:tr>
      <w:tr>
        <w:trPr>
          <w:cantSplit/>
        </w:trPr>
        <w:tc>
          <w:tcPr>
            <w:tcW w:type="dxa" w:w="3120"/>
            <w:vAlign w:val="center"/>
          </w:tcPr>
          <w:p>
            <w:pPr>
              <w:spacing w:line="240" w:lineRule="auto" w:after="40"/>
            </w:pPr>
            <w:r>
              <w:rPr>
                <w:rFonts w:ascii="Times New Roman" w:hAnsi="Times New Roman"/>
                <w:sz w:val="18"/>
              </w:rPr>
              <w:t>Calidad del agua</w:t>
            </w:r>
          </w:p>
        </w:tc>
        <w:tc>
          <w:tcPr>
            <w:tcW w:type="dxa" w:w="3120"/>
            <w:vAlign w:val="center"/>
          </w:tcPr>
          <w:p>
            <w:pPr>
              <w:spacing w:line="240" w:lineRule="auto" w:after="40"/>
            </w:pPr>
            <w:r>
              <w:rPr>
                <w:rFonts w:ascii="Times New Roman" w:hAnsi="Times New Roman"/>
                <w:sz w:val="18"/>
              </w:rPr>
              <w:t>Turbidez, pH y parámetros definidos por autoridad competente</w:t>
            </w:r>
          </w:p>
        </w:tc>
        <w:tc>
          <w:tcPr>
            <w:tcW w:type="dxa" w:w="3120"/>
            <w:vAlign w:val="center"/>
          </w:tcPr>
          <w:p>
            <w:pPr>
              <w:spacing w:line="240" w:lineRule="auto" w:after="40"/>
            </w:pPr>
            <w:r>
              <w:rPr>
                <w:rFonts w:ascii="Times New Roman" w:hAnsi="Times New Roman"/>
                <w:sz w:val="18"/>
              </w:rPr>
              <w:t>Muestreo de laboratorio; trimestral</w:t>
            </w:r>
          </w:p>
        </w:tc>
      </w:tr>
      <w:tr>
        <w:trPr>
          <w:cantSplit/>
        </w:trPr>
        <w:tc>
          <w:tcPr>
            <w:tcW w:type="dxa" w:w="3120"/>
            <w:vAlign w:val="center"/>
          </w:tcPr>
          <w:p>
            <w:pPr>
              <w:spacing w:line="240" w:lineRule="auto" w:after="40"/>
            </w:pPr>
            <w:r>
              <w:rPr>
                <w:rFonts w:ascii="Times New Roman" w:hAnsi="Times New Roman"/>
                <w:sz w:val="18"/>
              </w:rPr>
              <w:t>Participación</w:t>
            </w:r>
          </w:p>
        </w:tc>
        <w:tc>
          <w:tcPr>
            <w:tcW w:type="dxa" w:w="3120"/>
            <w:vAlign w:val="center"/>
          </w:tcPr>
          <w:p>
            <w:pPr>
              <w:spacing w:line="240" w:lineRule="auto" w:after="40"/>
            </w:pPr>
            <w:r>
              <w:rPr>
                <w:rFonts w:ascii="Times New Roman" w:hAnsi="Times New Roman"/>
                <w:sz w:val="18"/>
              </w:rPr>
              <w:t>Número de actores formados; acuerdos comunitarios; participación de mujeres y jóvenes</w:t>
            </w:r>
          </w:p>
        </w:tc>
        <w:tc>
          <w:tcPr>
            <w:tcW w:type="dxa" w:w="3120"/>
            <w:vAlign w:val="center"/>
          </w:tcPr>
          <w:p>
            <w:pPr>
              <w:spacing w:line="240" w:lineRule="auto" w:after="40"/>
            </w:pPr>
            <w:r>
              <w:rPr>
                <w:rFonts w:ascii="Times New Roman" w:hAnsi="Times New Roman"/>
                <w:sz w:val="18"/>
              </w:rPr>
              <w:t>Listas y actas; semestral</w:t>
            </w:r>
          </w:p>
        </w:tc>
      </w:tr>
      <w:tr>
        <w:trPr>
          <w:cantSplit/>
        </w:trPr>
        <w:tc>
          <w:tcPr>
            <w:tcW w:type="dxa" w:w="3120"/>
            <w:vAlign w:val="center"/>
          </w:tcPr>
          <w:p>
            <w:pPr>
              <w:spacing w:line="240" w:lineRule="auto" w:after="40"/>
            </w:pPr>
            <w:r>
              <w:rPr>
                <w:rFonts w:ascii="Times New Roman" w:hAnsi="Times New Roman"/>
                <w:sz w:val="18"/>
              </w:rPr>
              <w:t>Gestión y factibilidad</w:t>
            </w:r>
          </w:p>
        </w:tc>
        <w:tc>
          <w:tcPr>
            <w:tcW w:type="dxa" w:w="3120"/>
            <w:vAlign w:val="center"/>
          </w:tcPr>
          <w:p>
            <w:pPr>
              <w:spacing w:line="240" w:lineRule="auto" w:after="40"/>
            </w:pPr>
            <w:r>
              <w:rPr>
                <w:rFonts w:ascii="Times New Roman" w:hAnsi="Times New Roman"/>
                <w:sz w:val="18"/>
              </w:rPr>
              <w:t>Costo por hectárea; costo por punto de monitoreo; ejecución presupuestaria</w:t>
            </w:r>
          </w:p>
        </w:tc>
        <w:tc>
          <w:tcPr>
            <w:tcW w:type="dxa" w:w="3120"/>
            <w:vAlign w:val="center"/>
          </w:tcPr>
          <w:p>
            <w:pPr>
              <w:spacing w:line="240" w:lineRule="auto" w:after="40"/>
            </w:pPr>
            <w:r>
              <w:rPr>
                <w:rFonts w:ascii="Times New Roman" w:hAnsi="Times New Roman"/>
                <w:sz w:val="18"/>
              </w:rPr>
              <w:t>Registros administrativos; trimestral</w:t>
            </w:r>
          </w:p>
        </w:tc>
      </w:tr>
      <w:tr>
        <w:trPr>
          <w:cantSplit/>
        </w:trPr>
        <w:tc>
          <w:tcPr>
            <w:tcW w:type="dxa" w:w="3120"/>
            <w:vAlign w:val="center"/>
          </w:tcPr>
          <w:p>
            <w:pPr>
              <w:spacing w:line="240" w:lineRule="auto" w:after="40"/>
            </w:pPr>
            <w:r>
              <w:rPr>
                <w:rFonts w:ascii="Times New Roman" w:hAnsi="Times New Roman"/>
                <w:sz w:val="18"/>
              </w:rPr>
              <w:t>Hipótesis intercontinental</w:t>
            </w:r>
          </w:p>
        </w:tc>
        <w:tc>
          <w:tcPr>
            <w:tcW w:type="dxa" w:w="3120"/>
            <w:vAlign w:val="center"/>
          </w:tcPr>
          <w:p>
            <w:pPr>
              <w:spacing w:line="240" w:lineRule="auto" w:after="40"/>
            </w:pPr>
            <w:r>
              <w:rPr>
                <w:rFonts w:ascii="Times New Roman" w:hAnsi="Times New Roman"/>
                <w:sz w:val="18"/>
              </w:rPr>
              <w:t>Transporte de vapor de agua; consistencia entre modelos y observaciones; incertidumbre</w:t>
            </w:r>
          </w:p>
        </w:tc>
        <w:tc>
          <w:tcPr>
            <w:tcW w:type="dxa" w:w="3120"/>
            <w:vAlign w:val="center"/>
          </w:tcPr>
          <w:p>
            <w:pPr>
              <w:spacing w:line="240" w:lineRule="auto" w:after="40"/>
            </w:pPr>
            <w:r>
              <w:rPr>
                <w:rFonts w:ascii="Times New Roman" w:hAnsi="Times New Roman"/>
                <w:sz w:val="18"/>
              </w:rPr>
              <w:t>Reanálisis, satélite y modelos; evaluación anual</w:t>
            </w:r>
          </w:p>
        </w:tc>
      </w:tr>
    </w:tbl>
    <w:p>
      <w:pPr>
        <w:pStyle w:val="Heading1"/>
      </w:pPr>
      <w:r>
        <w:t>Capítulo IV. Propuesta de solución</w:t>
      </w:r>
    </w:p>
    <w:p>
      <w:pPr>
        <w:pStyle w:val="Heading2"/>
      </w:pPr>
      <w:r>
        <w:t>Nombre de la propuesta</w:t>
      </w:r>
    </w:p>
    <w:p>
      <w:r>
        <w:rPr>
          <w:b w:val="0"/>
          <w:i w:val="0"/>
        </w:rPr>
        <w:t>Programa piloto de resiliencia hídrica venezolana mediante restauración ecológica, monitoreo y cooperación climática internacional.</w:t>
      </w:r>
    </w:p>
    <w:p>
      <w:pPr>
        <w:pStyle w:val="Heading2"/>
      </w:pPr>
      <w:r>
        <w:t>Objetivo operativo</w:t>
      </w:r>
    </w:p>
    <w:p>
      <w:pPr>
        <w:ind w:firstLine="720"/>
      </w:pPr>
      <w:r>
        <w:rPr>
          <w:b w:val="0"/>
          <w:i w:val="0"/>
        </w:rPr>
        <w:t>Poner en marcha durante 36 meses un programa piloto que mejore la protección ecológica de cuencas seleccionadas, establezca una línea base verificable y determine qué intervenciones ofrecen beneficios hidrológicos y ambientales medibles.</w:t>
      </w:r>
    </w:p>
    <w:p>
      <w:pPr>
        <w:pStyle w:val="Heading2"/>
      </w:pPr>
      <w:r>
        <w:t>Componentes</w:t>
      </w:r>
    </w:p>
    <w:p>
      <w:pPr>
        <w:pStyle w:val="Heading3"/>
      </w:pPr>
      <w:r>
        <w:t>Componente A. Restauración de cuencas venezolanas</w:t>
      </w:r>
    </w:p>
    <w:p>
      <w:pPr>
        <w:pStyle w:val="ListBullet"/>
        <w:spacing w:line="480" w:lineRule="auto"/>
      </w:pPr>
      <w:r>
        <w:t>Proteger bosques ribereños, nacientes y zonas de recarga hídrica identificadas en el diagnóstico.</w:t>
      </w:r>
    </w:p>
    <w:p>
      <w:pPr>
        <w:pStyle w:val="ListBullet"/>
        <w:spacing w:line="480" w:lineRule="auto"/>
      </w:pPr>
      <w:r>
        <w:t>Priorizar regeneración natural asistida y especies nativas apropiadas al ecosistema, evitando plantaciones monoespecíficas sin evaluación.</w:t>
      </w:r>
    </w:p>
    <w:p>
      <w:pPr>
        <w:pStyle w:val="ListBullet"/>
        <w:spacing w:line="480" w:lineRule="auto"/>
      </w:pPr>
      <w:r>
        <w:t>Aplicar prácticas de conservación de suelos: cobertura vegetal, barreras vivas donde sean adecuadas, control de erosión y manejo de escorrentía.</w:t>
      </w:r>
    </w:p>
    <w:p>
      <w:pPr>
        <w:pStyle w:val="ListBullet"/>
        <w:spacing w:line="480" w:lineRule="auto"/>
      </w:pPr>
      <w:r>
        <w:t>Restaurar humedales y planicies de inundación cuando los estudios ecológicos e hidrológicos lo recomienden.</w:t>
      </w:r>
    </w:p>
    <w:p>
      <w:pPr>
        <w:pStyle w:val="ListBullet"/>
        <w:spacing w:line="480" w:lineRule="auto"/>
      </w:pPr>
      <w:r>
        <w:t>Desarrollar prevención de incendios, mantenimiento de plantaciones y acuerdos de vigilancia comunitaria.</w:t>
      </w:r>
    </w:p>
    <w:p>
      <w:pPr>
        <w:pStyle w:val="Heading3"/>
      </w:pPr>
      <w:r>
        <w:t>Componente B. Observatorio hídrico y climático</w:t>
      </w:r>
    </w:p>
    <w:p>
      <w:pPr>
        <w:ind w:firstLine="720"/>
      </w:pPr>
      <w:r>
        <w:rPr>
          <w:b w:val="0"/>
          <w:i w:val="0"/>
        </w:rPr>
        <w:t>Integrar datos de estaciones meteorológicas, caudales, embalses, satélites y cobertura terrestre en un sistema geográfico. Elaborar boletines estacionales de riesgo de sequía y lluvia intensa. Los indicadores deben poder reproducirse y distinguir correlación de causalidad.</w:t>
      </w:r>
    </w:p>
    <w:p>
      <w:pPr>
        <w:pStyle w:val="Heading3"/>
      </w:pPr>
      <w:r>
        <w:t>Componente C. Cooperación con África occidental y redes regionales</w:t>
      </w:r>
    </w:p>
    <w:p>
      <w:pPr>
        <w:ind w:firstLine="720"/>
      </w:pPr>
      <w:r>
        <w:rPr>
          <w:b w:val="0"/>
          <w:i w:val="0"/>
        </w:rPr>
        <w:t>Establecer intercambios técnicos con programas de restauración del Sahel y universidades o centros de investigación que trabajen en humedad atmosférica y restauración. La cooperación se enfocará en métodos de restauración, monitoreo, intercambio de datos y comparación de escenarios, no en afirmar que las acciones africanas producirán automáticamente lluvia en Venezuela.</w:t>
      </w:r>
    </w:p>
    <w:p>
      <w:pPr>
        <w:pStyle w:val="Heading3"/>
      </w:pPr>
      <w:r>
        <w:t>Componente D. Evaluación del Atlántico y geoingeniería</w:t>
      </w:r>
    </w:p>
    <w:p>
      <w:pPr>
        <w:ind w:firstLine="720"/>
      </w:pPr>
      <w:r>
        <w:rPr>
          <w:b w:val="0"/>
          <w:i w:val="0"/>
        </w:rPr>
        <w:t>Realizar una evaluación de escritorio de propuestas de cultivo de macroalgas, gestión de sargazo u otras intervenciones oceánicas. El estudio considerará nutrientes, oxígeno, biodiversidad, carbono, transporte de biomasa, navegación, pesca, especies invasoras, acumulación costera y marcos legales. La opción inicial será monitoreo y manejo ecológico convencional; cualquier experimento de geoingeniería requerirá autorización y evaluación independiente.</w:t>
      </w:r>
    </w:p>
    <w:p>
      <w:pPr>
        <w:pStyle w:val="Heading3"/>
      </w:pPr>
      <w:r>
        <w:t>Componente E. Modelación del Pacífico sudamericano y ENOS</w:t>
      </w:r>
    </w:p>
    <w:p>
      <w:pPr>
        <w:ind w:firstLine="720"/>
      </w:pPr>
      <w:r>
        <w:rPr>
          <w:b w:val="0"/>
          <w:i w:val="0"/>
        </w:rPr>
        <w:t>Examinar registros climáticos del Pacífico tropical y de las costas sudamericanas para comprender teleconexiones climáticas relevantes para Venezuela. La modelación debe comparar escenarios y reconocer que las intervenciones propuestas no pueden considerarse una herramienta probada para debilitar El Niño. Los resultados serán expresados como rangos e incertidumbres.</w:t>
      </w:r>
    </w:p>
    <w:p>
      <w:pPr>
        <w:pStyle w:val="Heading2"/>
      </w:pPr>
      <w:r>
        <w:t>Resultados y productos esperados</w:t>
      </w:r>
    </w:p>
    <w:p>
      <w:pPr>
        <w:pStyle w:val="ListBullet"/>
        <w:spacing w:line="480" w:lineRule="auto"/>
      </w:pPr>
      <w:r>
        <w:t>Diagnóstico de cuencas y mapa de priorización de áreas piloto.</w:t>
      </w:r>
    </w:p>
    <w:p>
      <w:pPr>
        <w:pStyle w:val="ListBullet"/>
        <w:spacing w:line="480" w:lineRule="auto"/>
      </w:pPr>
      <w:r>
        <w:t>Plan técnico de restauración ecológica con especies y prácticas apropiadas por sitio.</w:t>
      </w:r>
    </w:p>
    <w:p>
      <w:pPr>
        <w:pStyle w:val="ListBullet"/>
        <w:spacing w:line="480" w:lineRule="auto"/>
      </w:pPr>
      <w:r>
        <w:t>Línea base de indicadores hidrológicos, climáticos, ecológicos y sociales.</w:t>
      </w:r>
    </w:p>
    <w:p>
      <w:pPr>
        <w:pStyle w:val="ListBullet"/>
        <w:spacing w:line="480" w:lineRule="auto"/>
      </w:pPr>
      <w:r>
        <w:t>Protocolo de monitoreo y tablero de indicadores con metadatos.</w:t>
      </w:r>
    </w:p>
    <w:p>
      <w:pPr>
        <w:pStyle w:val="ListBullet"/>
        <w:spacing w:line="480" w:lineRule="auto"/>
      </w:pPr>
      <w:r>
        <w:t>Informe jurídico sobre tratados, permisos, cooperación y gobernanza de intervenciones marinas.</w:t>
      </w:r>
    </w:p>
    <w:p>
      <w:pPr>
        <w:pStyle w:val="ListBullet"/>
        <w:spacing w:line="480" w:lineRule="auto"/>
      </w:pPr>
      <w:r>
        <w:t>Evaluación de factibilidad y análisis de costos de las medidas piloto.</w:t>
      </w:r>
    </w:p>
    <w:p>
      <w:pPr>
        <w:pStyle w:val="ListBullet"/>
        <w:spacing w:line="480" w:lineRule="auto"/>
      </w:pPr>
      <w:r>
        <w:t>Informe final que indique qué hipótesis fueron respaldadas, cuáles no y qué evidencia adicional se necesita.</w:t>
      </w:r>
    </w:p>
    <w:p>
      <w:pPr>
        <w:pStyle w:val="Heading2"/>
      </w:pPr>
      <w:r>
        <w:t>Factibilidad del proyecto</w:t>
      </w:r>
    </w:p>
    <w:p>
      <w:pPr>
        <w:pStyle w:val="Heading3"/>
      </w:pPr>
      <w:r>
        <w:t>Factibilidad técnica</w:t>
      </w:r>
    </w:p>
    <w:p>
      <w:pPr>
        <w:ind w:firstLine="720"/>
      </w:pPr>
      <w:r>
        <w:rPr>
          <w:b w:val="0"/>
          <w:i w:val="0"/>
        </w:rPr>
        <w:t>Es moderada-alta para restauración terrestre, monitoreo y análisis documental, siempre que existan equipos, acceso a sitios y colaboración institucional. Es baja o incierta para intervenciones deliberadas de geoingeniería marina, por su complejidad, costos, incertidumbres y exigencias regulatorias.</w:t>
      </w:r>
    </w:p>
    <w:p>
      <w:pPr>
        <w:pStyle w:val="Heading3"/>
      </w:pPr>
      <w:r>
        <w:t>Factibilidad institucional y jurídica</w:t>
      </w:r>
    </w:p>
    <w:p>
      <w:pPr>
        <w:ind w:firstLine="720"/>
      </w:pPr>
      <w:r>
        <w:rPr>
          <w:b w:val="0"/>
          <w:i w:val="0"/>
        </w:rPr>
        <w:t>Requiere una entidad ejecutora, acuerdos con autoridades ambientales y de agua, universidades, comunidades y potenciales socios internacionales. Antes de iniciar trabajos se debe confirmar titularidad y permisos de acceso, autorizaciones de colecta o muestreo, protección de datos, consulta a comunidades y compatibilidad con obligaciones nacionales e internacionales.</w:t>
      </w:r>
    </w:p>
    <w:p>
      <w:pPr>
        <w:pStyle w:val="Heading3"/>
      </w:pPr>
      <w:r>
        <w:t>Factibilidad económica</w:t>
      </w:r>
    </w:p>
    <w:p>
      <w:pPr>
        <w:ind w:firstLine="720"/>
      </w:pPr>
      <w:r>
        <w:rPr>
          <w:b w:val="0"/>
          <w:i w:val="0"/>
        </w:rPr>
        <w:t>El programa se plantea por fases para que el piloto pueda reducirse o ampliarse según financiación. La restauración se priorizará donde existan beneficios locales claros y costos de mantenimiento sostenibles. Las actividades de geoingeniería no forman parte del presupuesto operativo base.</w:t>
      </w:r>
    </w:p>
    <w:p>
      <w:pPr>
        <w:pStyle w:val="Heading3"/>
      </w:pPr>
      <w:r>
        <w:t>Factibilidad social</w:t>
      </w:r>
    </w:p>
    <w:p>
      <w:pPr>
        <w:ind w:firstLine="720"/>
      </w:pPr>
      <w:r>
        <w:rPr>
          <w:b w:val="0"/>
          <w:i w:val="0"/>
        </w:rPr>
        <w:t>La viabilidad depende de participación desde el diagnóstico, generación de empleo local, formación, transparencia en la selección de áreas y respeto de los usos del territorio. Se recomienda crear comités de cuenca y mecanismos de quejas y seguimiento.</w:t>
      </w:r>
    </w:p>
    <w:p>
      <w:pPr>
        <w:pStyle w:val="Heading3"/>
      </w:pPr>
      <w:r>
        <w:t>Factibilidad ambiental</w:t>
      </w:r>
    </w:p>
    <w:p>
      <w:pPr>
        <w:ind w:firstLine="720"/>
      </w:pPr>
      <w:r>
        <w:rPr>
          <w:b w:val="0"/>
          <w:i w:val="0"/>
        </w:rPr>
        <w:t>Las medidas terrestres deberán utilizar especies apropiadas, proteger biodiversidad y evitar desplazamiento de comunidades o conversión de ecosistemas naturales no degradados. Los resultados adversos —por ejemplo, reducción de caudal por selección inadecuada de especies o afectación de hábitats— deberán activar ajustes o suspensión.</w:t>
      </w:r>
    </w:p>
    <w:p>
      <w:pPr>
        <w:pStyle w:val="Heading2"/>
      </w:pPr>
      <w:r>
        <w:t>Matriz de riesgos</w:t>
      </w:r>
    </w:p>
    <w:tbl>
      <w:tblPr>
        <w:tblStyle w:val="TableGrid"/>
        <w:tblW w:type="auto" w:w="0"/>
        <w:jc w:val="center"/>
        <w:tblLook w:firstColumn="1" w:firstRow="1" w:lastColumn="0" w:lastRow="0" w:noHBand="0" w:noVBand="1" w:val="04A0"/>
      </w:tblPr>
      <w:tblGrid>
        <w:gridCol w:w="3120"/>
        <w:gridCol w:w="3120"/>
        <w:gridCol w:w="3120"/>
      </w:tblGrid>
      <w:tr>
        <w:trPr>
          <w:cantSplit/>
        </w:trPr>
        <w:tc>
          <w:tcPr>
            <w:tcW w:type="dxa" w:w="3120"/>
          </w:tcPr>
          <w:p>
            <w:pPr>
              <w:spacing w:line="240" w:lineRule="auto"/>
            </w:pPr>
            <w:r>
              <w:rPr>
                <w:rFonts w:ascii="Times New Roman" w:hAnsi="Times New Roman"/>
                <w:sz w:val="18"/>
              </w:rPr>
              <w:t>Riesgo</w:t>
            </w:r>
          </w:p>
        </w:tc>
        <w:tc>
          <w:tcPr>
            <w:tcW w:type="dxa" w:w="3120"/>
          </w:tcPr>
          <w:p>
            <w:pPr>
              <w:spacing w:line="240" w:lineRule="auto"/>
            </w:pPr>
            <w:r>
              <w:rPr>
                <w:rFonts w:ascii="Times New Roman" w:hAnsi="Times New Roman"/>
                <w:sz w:val="18"/>
              </w:rPr>
              <w:t>Nivel preliminar</w:t>
            </w:r>
          </w:p>
        </w:tc>
        <w:tc>
          <w:tcPr>
            <w:tcW w:type="dxa" w:w="3120"/>
          </w:tcPr>
          <w:p>
            <w:pPr>
              <w:spacing w:line="240" w:lineRule="auto"/>
            </w:pPr>
            <w:r>
              <w:rPr>
                <w:rFonts w:ascii="Times New Roman" w:hAnsi="Times New Roman"/>
                <w:sz w:val="18"/>
              </w:rPr>
              <w:t>Medida de mitigación</w:t>
            </w:r>
          </w:p>
        </w:tc>
      </w:tr>
      <w:tr>
        <w:trPr>
          <w:cantSplit/>
        </w:trPr>
        <w:tc>
          <w:tcPr>
            <w:tcW w:type="dxa" w:w="3120"/>
          </w:tcPr>
          <w:p>
            <w:pPr>
              <w:spacing w:line="240" w:lineRule="auto"/>
            </w:pPr>
            <w:r>
              <w:rPr>
                <w:rFonts w:ascii="Times New Roman" w:hAnsi="Times New Roman"/>
                <w:sz w:val="18"/>
              </w:rPr>
              <w:t>Efectos hidrológicos menores a los esperados</w:t>
            </w:r>
          </w:p>
        </w:tc>
        <w:tc>
          <w:tcPr>
            <w:tcW w:type="dxa" w:w="3120"/>
          </w:tcPr>
          <w:p>
            <w:pPr>
              <w:spacing w:line="240" w:lineRule="auto"/>
            </w:pPr>
            <w:r>
              <w:rPr>
                <w:rFonts w:ascii="Times New Roman" w:hAnsi="Times New Roman"/>
                <w:sz w:val="18"/>
              </w:rPr>
              <w:t>Medio-alto</w:t>
            </w:r>
          </w:p>
        </w:tc>
        <w:tc>
          <w:tcPr>
            <w:tcW w:type="dxa" w:w="3120"/>
          </w:tcPr>
          <w:p>
            <w:pPr>
              <w:spacing w:line="240" w:lineRule="auto"/>
            </w:pPr>
            <w:r>
              <w:rPr>
                <w:rFonts w:ascii="Times New Roman" w:hAnsi="Times New Roman"/>
                <w:sz w:val="18"/>
              </w:rPr>
              <w:t>Diseño piloto, línea base, controles de referencia y evaluación adaptativa</w:t>
            </w:r>
          </w:p>
        </w:tc>
      </w:tr>
      <w:tr>
        <w:trPr>
          <w:cantSplit/>
        </w:trPr>
        <w:tc>
          <w:tcPr>
            <w:tcW w:type="dxa" w:w="3120"/>
          </w:tcPr>
          <w:p>
            <w:pPr>
              <w:spacing w:line="240" w:lineRule="auto"/>
            </w:pPr>
            <w:r>
              <w:rPr>
                <w:rFonts w:ascii="Times New Roman" w:hAnsi="Times New Roman"/>
                <w:sz w:val="18"/>
              </w:rPr>
              <w:t>Sequía, incendio o evento extremo</w:t>
            </w:r>
          </w:p>
        </w:tc>
        <w:tc>
          <w:tcPr>
            <w:tcW w:type="dxa" w:w="3120"/>
          </w:tcPr>
          <w:p>
            <w:pPr>
              <w:spacing w:line="240" w:lineRule="auto"/>
            </w:pPr>
            <w:r>
              <w:rPr>
                <w:rFonts w:ascii="Times New Roman" w:hAnsi="Times New Roman"/>
                <w:sz w:val="18"/>
              </w:rPr>
              <w:t>Alto</w:t>
            </w:r>
          </w:p>
        </w:tc>
        <w:tc>
          <w:tcPr>
            <w:tcW w:type="dxa" w:w="3120"/>
          </w:tcPr>
          <w:p>
            <w:pPr>
              <w:spacing w:line="240" w:lineRule="auto"/>
            </w:pPr>
            <w:r>
              <w:rPr>
                <w:rFonts w:ascii="Times New Roman" w:hAnsi="Times New Roman"/>
                <w:sz w:val="18"/>
              </w:rPr>
              <w:t>Selección de especies resilientes, prevención, seguros cuando proceda y contingencia</w:t>
            </w:r>
          </w:p>
        </w:tc>
      </w:tr>
      <w:tr>
        <w:trPr>
          <w:cantSplit/>
        </w:trPr>
        <w:tc>
          <w:tcPr>
            <w:tcW w:type="dxa" w:w="3120"/>
          </w:tcPr>
          <w:p>
            <w:pPr>
              <w:spacing w:line="240" w:lineRule="auto"/>
            </w:pPr>
            <w:r>
              <w:rPr>
                <w:rFonts w:ascii="Times New Roman" w:hAnsi="Times New Roman"/>
                <w:sz w:val="18"/>
              </w:rPr>
              <w:t>Falta de financiación o mantenimiento</w:t>
            </w:r>
          </w:p>
        </w:tc>
        <w:tc>
          <w:tcPr>
            <w:tcW w:type="dxa" w:w="3120"/>
          </w:tcPr>
          <w:p>
            <w:pPr>
              <w:spacing w:line="240" w:lineRule="auto"/>
            </w:pPr>
            <w:r>
              <w:rPr>
                <w:rFonts w:ascii="Times New Roman" w:hAnsi="Times New Roman"/>
                <w:sz w:val="18"/>
              </w:rPr>
              <w:t>Medio-alto</w:t>
            </w:r>
          </w:p>
        </w:tc>
        <w:tc>
          <w:tcPr>
            <w:tcW w:type="dxa" w:w="3120"/>
          </w:tcPr>
          <w:p>
            <w:pPr>
              <w:spacing w:line="240" w:lineRule="auto"/>
            </w:pPr>
            <w:r>
              <w:rPr>
                <w:rFonts w:ascii="Times New Roman" w:hAnsi="Times New Roman"/>
                <w:sz w:val="18"/>
              </w:rPr>
              <w:t>Implementación por etapas y compromisos plurianuales</w:t>
            </w:r>
          </w:p>
        </w:tc>
      </w:tr>
      <w:tr>
        <w:trPr>
          <w:cantSplit/>
        </w:trPr>
        <w:tc>
          <w:tcPr>
            <w:tcW w:type="dxa" w:w="3120"/>
          </w:tcPr>
          <w:p>
            <w:pPr>
              <w:spacing w:line="240" w:lineRule="auto"/>
            </w:pPr>
            <w:r>
              <w:rPr>
                <w:rFonts w:ascii="Times New Roman" w:hAnsi="Times New Roman"/>
                <w:sz w:val="18"/>
              </w:rPr>
              <w:t>Conflictos de uso del suelo</w:t>
            </w:r>
          </w:p>
        </w:tc>
        <w:tc>
          <w:tcPr>
            <w:tcW w:type="dxa" w:w="3120"/>
          </w:tcPr>
          <w:p>
            <w:pPr>
              <w:spacing w:line="240" w:lineRule="auto"/>
            </w:pPr>
            <w:r>
              <w:rPr>
                <w:rFonts w:ascii="Times New Roman" w:hAnsi="Times New Roman"/>
                <w:sz w:val="18"/>
              </w:rPr>
              <w:t>Medio</w:t>
            </w:r>
          </w:p>
        </w:tc>
        <w:tc>
          <w:tcPr>
            <w:tcW w:type="dxa" w:w="3120"/>
          </w:tcPr>
          <w:p>
            <w:pPr>
              <w:spacing w:line="240" w:lineRule="auto"/>
            </w:pPr>
            <w:r>
              <w:rPr>
                <w:rFonts w:ascii="Times New Roman" w:hAnsi="Times New Roman"/>
                <w:sz w:val="18"/>
              </w:rPr>
              <w:t>Participación temprana, acuerdos documentados y salvaguardas sociales</w:t>
            </w:r>
          </w:p>
        </w:tc>
      </w:tr>
      <w:tr>
        <w:trPr>
          <w:cantSplit/>
        </w:trPr>
        <w:tc>
          <w:tcPr>
            <w:tcW w:type="dxa" w:w="3120"/>
          </w:tcPr>
          <w:p>
            <w:pPr>
              <w:spacing w:line="240" w:lineRule="auto"/>
            </w:pPr>
            <w:r>
              <w:rPr>
                <w:rFonts w:ascii="Times New Roman" w:hAnsi="Times New Roman"/>
                <w:sz w:val="18"/>
              </w:rPr>
              <w:t>Datos insuficientes para atribuir cambios</w:t>
            </w:r>
          </w:p>
        </w:tc>
        <w:tc>
          <w:tcPr>
            <w:tcW w:type="dxa" w:w="3120"/>
          </w:tcPr>
          <w:p>
            <w:pPr>
              <w:spacing w:line="240" w:lineRule="auto"/>
            </w:pPr>
            <w:r>
              <w:rPr>
                <w:rFonts w:ascii="Times New Roman" w:hAnsi="Times New Roman"/>
                <w:sz w:val="18"/>
              </w:rPr>
              <w:t>Alto</w:t>
            </w:r>
          </w:p>
        </w:tc>
        <w:tc>
          <w:tcPr>
            <w:tcW w:type="dxa" w:w="3120"/>
          </w:tcPr>
          <w:p>
            <w:pPr>
              <w:spacing w:line="240" w:lineRule="auto"/>
            </w:pPr>
            <w:r>
              <w:rPr>
                <w:rFonts w:ascii="Times New Roman" w:hAnsi="Times New Roman"/>
                <w:sz w:val="18"/>
              </w:rPr>
              <w:t>Monitoreo de largo plazo, control de calidad y modelación independiente</w:t>
            </w:r>
          </w:p>
        </w:tc>
      </w:tr>
      <w:tr>
        <w:trPr>
          <w:cantSplit/>
        </w:trPr>
        <w:tc>
          <w:tcPr>
            <w:tcW w:type="dxa" w:w="3120"/>
          </w:tcPr>
          <w:p>
            <w:pPr>
              <w:spacing w:line="240" w:lineRule="auto"/>
            </w:pPr>
            <w:r>
              <w:rPr>
                <w:rFonts w:ascii="Times New Roman" w:hAnsi="Times New Roman"/>
                <w:sz w:val="18"/>
              </w:rPr>
              <w:t>Daños ecológicos por intervención marina</w:t>
            </w:r>
          </w:p>
        </w:tc>
        <w:tc>
          <w:tcPr>
            <w:tcW w:type="dxa" w:w="3120"/>
          </w:tcPr>
          <w:p>
            <w:pPr>
              <w:spacing w:line="240" w:lineRule="auto"/>
            </w:pPr>
            <w:r>
              <w:rPr>
                <w:rFonts w:ascii="Times New Roman" w:hAnsi="Times New Roman"/>
                <w:sz w:val="18"/>
              </w:rPr>
              <w:t>Alto</w:t>
            </w:r>
          </w:p>
        </w:tc>
        <w:tc>
          <w:tcPr>
            <w:tcW w:type="dxa" w:w="3120"/>
          </w:tcPr>
          <w:p>
            <w:pPr>
              <w:spacing w:line="240" w:lineRule="auto"/>
            </w:pPr>
            <w:r>
              <w:rPr>
                <w:rFonts w:ascii="Times New Roman" w:hAnsi="Times New Roman"/>
                <w:sz w:val="18"/>
              </w:rPr>
              <w:t>No desplegar a escala operativa; revisión científica, jurídica y ambiental previa</w:t>
            </w:r>
          </w:p>
        </w:tc>
      </w:tr>
      <w:tr>
        <w:trPr>
          <w:cantSplit/>
        </w:trPr>
        <w:tc>
          <w:tcPr>
            <w:tcW w:type="dxa" w:w="3120"/>
          </w:tcPr>
          <w:p>
            <w:pPr>
              <w:spacing w:line="240" w:lineRule="auto"/>
            </w:pPr>
            <w:r>
              <w:rPr>
                <w:rFonts w:ascii="Times New Roman" w:hAnsi="Times New Roman"/>
                <w:sz w:val="18"/>
              </w:rPr>
              <w:t>Expectativas públicas de lluvia garantizada</w:t>
            </w:r>
          </w:p>
        </w:tc>
        <w:tc>
          <w:tcPr>
            <w:tcW w:type="dxa" w:w="3120"/>
          </w:tcPr>
          <w:p>
            <w:pPr>
              <w:spacing w:line="240" w:lineRule="auto"/>
            </w:pPr>
            <w:r>
              <w:rPr>
                <w:rFonts w:ascii="Times New Roman" w:hAnsi="Times New Roman"/>
                <w:sz w:val="18"/>
              </w:rPr>
              <w:t>Alto</w:t>
            </w:r>
          </w:p>
        </w:tc>
        <w:tc>
          <w:tcPr>
            <w:tcW w:type="dxa" w:w="3120"/>
          </w:tcPr>
          <w:p>
            <w:pPr>
              <w:spacing w:line="240" w:lineRule="auto"/>
            </w:pPr>
            <w:r>
              <w:rPr>
                <w:rFonts w:ascii="Times New Roman" w:hAnsi="Times New Roman"/>
                <w:sz w:val="18"/>
              </w:rPr>
              <w:t>Comunicación transparente y prohibición de promesas no respaldadas</w:t>
            </w:r>
          </w:p>
        </w:tc>
      </w:tr>
    </w:tbl>
    <w:p>
      <w:pPr>
        <w:pStyle w:val="Heading2"/>
      </w:pPr>
      <w:r>
        <w:t>Presupuesto preliminar referencial</w:t>
      </w:r>
    </w:p>
    <w:p>
      <w:r>
        <w:rPr>
          <w:b w:val="0"/>
          <w:i w:val="0"/>
        </w:rPr>
        <w:t>Los montos siguientes son supuestos de planificación en dólares estadounidenses para un piloto de 36 meses. No constituyen cotizaciones; deben validarse con precios locales, salarios, transporte, importación de equipos, impuestos y alcance geográfico. No incluyen despliegue de geoingeniería marina.</w:t>
      </w:r>
    </w:p>
    <w:tbl>
      <w:tblPr>
        <w:tblStyle w:val="TableGrid"/>
        <w:tblW w:type="auto" w:w="0"/>
        <w:jc w:val="center"/>
        <w:tblLook w:firstColumn="1" w:firstRow="1" w:lastColumn="0" w:lastRow="0" w:noHBand="0" w:noVBand="1" w:val="04A0"/>
      </w:tblPr>
      <w:tblGrid>
        <w:gridCol w:w="3120"/>
        <w:gridCol w:w="3120"/>
        <w:gridCol w:w="3120"/>
      </w:tblGrid>
      <w:tr>
        <w:trPr>
          <w:cantSplit/>
        </w:trPr>
        <w:tc>
          <w:tcPr>
            <w:tcW w:type="dxa" w:w="3120"/>
          </w:tcPr>
          <w:p>
            <w:pPr>
              <w:spacing w:line="240" w:lineRule="auto"/>
            </w:pPr>
            <w:r>
              <w:rPr>
                <w:rFonts w:ascii="Times New Roman" w:hAnsi="Times New Roman"/>
                <w:sz w:val="18"/>
              </w:rPr>
              <w:t>Partida</w:t>
            </w:r>
          </w:p>
        </w:tc>
        <w:tc>
          <w:tcPr>
            <w:tcW w:type="dxa" w:w="3120"/>
          </w:tcPr>
          <w:p>
            <w:pPr>
              <w:spacing w:line="240" w:lineRule="auto"/>
            </w:pPr>
            <w:r>
              <w:rPr>
                <w:rFonts w:ascii="Times New Roman" w:hAnsi="Times New Roman"/>
                <w:sz w:val="18"/>
              </w:rPr>
              <w:t>Estimación (USD)</w:t>
            </w:r>
          </w:p>
        </w:tc>
        <w:tc>
          <w:tcPr>
            <w:tcW w:type="dxa" w:w="3120"/>
          </w:tcPr>
          <w:p>
            <w:pPr>
              <w:spacing w:line="240" w:lineRule="auto"/>
            </w:pPr>
            <w:r>
              <w:rPr>
                <w:rFonts w:ascii="Times New Roman" w:hAnsi="Times New Roman"/>
                <w:sz w:val="18"/>
              </w:rPr>
              <w:t>Alcance referencial</w:t>
            </w:r>
          </w:p>
        </w:tc>
      </w:tr>
      <w:tr>
        <w:trPr>
          <w:cantSplit/>
        </w:trPr>
        <w:tc>
          <w:tcPr>
            <w:tcW w:type="dxa" w:w="3120"/>
          </w:tcPr>
          <w:p>
            <w:pPr>
              <w:spacing w:line="240" w:lineRule="auto"/>
            </w:pPr>
            <w:r>
              <w:rPr>
                <w:rFonts w:ascii="Times New Roman" w:hAnsi="Times New Roman"/>
                <w:sz w:val="18"/>
              </w:rPr>
              <w:t>Diagnóstico y diseño técnico</w:t>
            </w:r>
          </w:p>
        </w:tc>
        <w:tc>
          <w:tcPr>
            <w:tcW w:type="dxa" w:w="3120"/>
          </w:tcPr>
          <w:p>
            <w:pPr>
              <w:spacing w:line="240" w:lineRule="auto"/>
            </w:pPr>
            <w:r>
              <w:rPr>
                <w:rFonts w:ascii="Times New Roman" w:hAnsi="Times New Roman"/>
                <w:sz w:val="18"/>
              </w:rPr>
              <w:t>35,000</w:t>
            </w:r>
          </w:p>
        </w:tc>
        <w:tc>
          <w:tcPr>
            <w:tcW w:type="dxa" w:w="3120"/>
          </w:tcPr>
          <w:p>
            <w:pPr>
              <w:spacing w:line="240" w:lineRule="auto"/>
            </w:pPr>
            <w:r>
              <w:rPr>
                <w:rFonts w:ascii="Times New Roman" w:hAnsi="Times New Roman"/>
                <w:sz w:val="18"/>
              </w:rPr>
              <w:t>Inventario, SIG, consulta inicial y diseño de piloto</w:t>
            </w:r>
          </w:p>
        </w:tc>
      </w:tr>
      <w:tr>
        <w:trPr>
          <w:cantSplit/>
        </w:trPr>
        <w:tc>
          <w:tcPr>
            <w:tcW w:type="dxa" w:w="3120"/>
          </w:tcPr>
          <w:p>
            <w:pPr>
              <w:spacing w:line="240" w:lineRule="auto"/>
            </w:pPr>
            <w:r>
              <w:rPr>
                <w:rFonts w:ascii="Times New Roman" w:hAnsi="Times New Roman"/>
                <w:sz w:val="18"/>
              </w:rPr>
              <w:t>Restauración y materiales</w:t>
            </w:r>
          </w:p>
        </w:tc>
        <w:tc>
          <w:tcPr>
            <w:tcW w:type="dxa" w:w="3120"/>
          </w:tcPr>
          <w:p>
            <w:pPr>
              <w:spacing w:line="240" w:lineRule="auto"/>
            </w:pPr>
            <w:r>
              <w:rPr>
                <w:rFonts w:ascii="Times New Roman" w:hAnsi="Times New Roman"/>
                <w:sz w:val="18"/>
              </w:rPr>
              <w:t>90,000</w:t>
            </w:r>
          </w:p>
        </w:tc>
        <w:tc>
          <w:tcPr>
            <w:tcW w:type="dxa" w:w="3120"/>
          </w:tcPr>
          <w:p>
            <w:pPr>
              <w:spacing w:line="240" w:lineRule="auto"/>
            </w:pPr>
            <w:r>
              <w:rPr>
                <w:rFonts w:ascii="Times New Roman" w:hAnsi="Times New Roman"/>
                <w:sz w:val="18"/>
              </w:rPr>
              <w:t>Viveros, especies nativas, preparación, mantenimiento y protección</w:t>
            </w:r>
          </w:p>
        </w:tc>
      </w:tr>
      <w:tr>
        <w:trPr>
          <w:cantSplit/>
        </w:trPr>
        <w:tc>
          <w:tcPr>
            <w:tcW w:type="dxa" w:w="3120"/>
          </w:tcPr>
          <w:p>
            <w:pPr>
              <w:spacing w:line="240" w:lineRule="auto"/>
            </w:pPr>
            <w:r>
              <w:rPr>
                <w:rFonts w:ascii="Times New Roman" w:hAnsi="Times New Roman"/>
                <w:sz w:val="18"/>
              </w:rPr>
              <w:t>Monitoreo hidrometeorológico</w:t>
            </w:r>
          </w:p>
        </w:tc>
        <w:tc>
          <w:tcPr>
            <w:tcW w:type="dxa" w:w="3120"/>
          </w:tcPr>
          <w:p>
            <w:pPr>
              <w:spacing w:line="240" w:lineRule="auto"/>
            </w:pPr>
            <w:r>
              <w:rPr>
                <w:rFonts w:ascii="Times New Roman" w:hAnsi="Times New Roman"/>
                <w:sz w:val="18"/>
              </w:rPr>
              <w:t>65,000</w:t>
            </w:r>
          </w:p>
        </w:tc>
        <w:tc>
          <w:tcPr>
            <w:tcW w:type="dxa" w:w="3120"/>
          </w:tcPr>
          <w:p>
            <w:pPr>
              <w:spacing w:line="240" w:lineRule="auto"/>
            </w:pPr>
            <w:r>
              <w:rPr>
                <w:rFonts w:ascii="Times New Roman" w:hAnsi="Times New Roman"/>
                <w:sz w:val="18"/>
              </w:rPr>
              <w:t>Sensores, pluviómetros, aforos, calibración y transmisión de datos</w:t>
            </w:r>
          </w:p>
        </w:tc>
      </w:tr>
      <w:tr>
        <w:trPr>
          <w:cantSplit/>
        </w:trPr>
        <w:tc>
          <w:tcPr>
            <w:tcW w:type="dxa" w:w="3120"/>
          </w:tcPr>
          <w:p>
            <w:pPr>
              <w:spacing w:line="240" w:lineRule="auto"/>
            </w:pPr>
            <w:r>
              <w:rPr>
                <w:rFonts w:ascii="Times New Roman" w:hAnsi="Times New Roman"/>
                <w:sz w:val="18"/>
              </w:rPr>
              <w:t>Análisis de laboratorio</w:t>
            </w:r>
          </w:p>
        </w:tc>
        <w:tc>
          <w:tcPr>
            <w:tcW w:type="dxa" w:w="3120"/>
          </w:tcPr>
          <w:p>
            <w:pPr>
              <w:spacing w:line="240" w:lineRule="auto"/>
            </w:pPr>
            <w:r>
              <w:rPr>
                <w:rFonts w:ascii="Times New Roman" w:hAnsi="Times New Roman"/>
                <w:sz w:val="18"/>
              </w:rPr>
              <w:t>25,000</w:t>
            </w:r>
          </w:p>
        </w:tc>
        <w:tc>
          <w:tcPr>
            <w:tcW w:type="dxa" w:w="3120"/>
          </w:tcPr>
          <w:p>
            <w:pPr>
              <w:spacing w:line="240" w:lineRule="auto"/>
            </w:pPr>
            <w:r>
              <w:rPr>
                <w:rFonts w:ascii="Times New Roman" w:hAnsi="Times New Roman"/>
                <w:sz w:val="18"/>
              </w:rPr>
              <w:t>Muestreos y parámetros de calidad de agua y suelo</w:t>
            </w:r>
          </w:p>
        </w:tc>
      </w:tr>
      <w:tr>
        <w:trPr>
          <w:cantSplit/>
        </w:trPr>
        <w:tc>
          <w:tcPr>
            <w:tcW w:type="dxa" w:w="3120"/>
          </w:tcPr>
          <w:p>
            <w:pPr>
              <w:spacing w:line="240" w:lineRule="auto"/>
            </w:pPr>
            <w:r>
              <w:rPr>
                <w:rFonts w:ascii="Times New Roman" w:hAnsi="Times New Roman"/>
                <w:sz w:val="18"/>
              </w:rPr>
              <w:t>Personal técnico y comunitario</w:t>
            </w:r>
          </w:p>
        </w:tc>
        <w:tc>
          <w:tcPr>
            <w:tcW w:type="dxa" w:w="3120"/>
          </w:tcPr>
          <w:p>
            <w:pPr>
              <w:spacing w:line="240" w:lineRule="auto"/>
            </w:pPr>
            <w:r>
              <w:rPr>
                <w:rFonts w:ascii="Times New Roman" w:hAnsi="Times New Roman"/>
                <w:sz w:val="18"/>
              </w:rPr>
              <w:t>85,000</w:t>
            </w:r>
          </w:p>
        </w:tc>
        <w:tc>
          <w:tcPr>
            <w:tcW w:type="dxa" w:w="3120"/>
          </w:tcPr>
          <w:p>
            <w:pPr>
              <w:spacing w:line="240" w:lineRule="auto"/>
            </w:pPr>
            <w:r>
              <w:rPr>
                <w:rFonts w:ascii="Times New Roman" w:hAnsi="Times New Roman"/>
                <w:sz w:val="18"/>
              </w:rPr>
              <w:t>Coordinación, técnicos, promotores y formación</w:t>
            </w:r>
          </w:p>
        </w:tc>
      </w:tr>
      <w:tr>
        <w:trPr>
          <w:cantSplit/>
        </w:trPr>
        <w:tc>
          <w:tcPr>
            <w:tcW w:type="dxa" w:w="3120"/>
          </w:tcPr>
          <w:p>
            <w:pPr>
              <w:spacing w:line="240" w:lineRule="auto"/>
            </w:pPr>
            <w:r>
              <w:rPr>
                <w:rFonts w:ascii="Times New Roman" w:hAnsi="Times New Roman"/>
                <w:sz w:val="18"/>
              </w:rPr>
              <w:t>Cooperación e intercambio científico</w:t>
            </w:r>
          </w:p>
        </w:tc>
        <w:tc>
          <w:tcPr>
            <w:tcW w:type="dxa" w:w="3120"/>
          </w:tcPr>
          <w:p>
            <w:pPr>
              <w:spacing w:line="240" w:lineRule="auto"/>
            </w:pPr>
            <w:r>
              <w:rPr>
                <w:rFonts w:ascii="Times New Roman" w:hAnsi="Times New Roman"/>
                <w:sz w:val="18"/>
              </w:rPr>
              <w:t>20,000</w:t>
            </w:r>
          </w:p>
        </w:tc>
        <w:tc>
          <w:tcPr>
            <w:tcW w:type="dxa" w:w="3120"/>
          </w:tcPr>
          <w:p>
            <w:pPr>
              <w:spacing w:line="240" w:lineRule="auto"/>
            </w:pPr>
            <w:r>
              <w:rPr>
                <w:rFonts w:ascii="Times New Roman" w:hAnsi="Times New Roman"/>
                <w:sz w:val="18"/>
              </w:rPr>
              <w:t>Talleres, intercambio técnico y análisis colaborativo</w:t>
            </w:r>
          </w:p>
        </w:tc>
      </w:tr>
      <w:tr>
        <w:trPr>
          <w:cantSplit/>
        </w:trPr>
        <w:tc>
          <w:tcPr>
            <w:tcW w:type="dxa" w:w="3120"/>
          </w:tcPr>
          <w:p>
            <w:pPr>
              <w:spacing w:line="240" w:lineRule="auto"/>
            </w:pPr>
            <w:r>
              <w:rPr>
                <w:rFonts w:ascii="Times New Roman" w:hAnsi="Times New Roman"/>
                <w:sz w:val="18"/>
              </w:rPr>
              <w:t>Evaluación ambiental y jurídica</w:t>
            </w:r>
          </w:p>
        </w:tc>
        <w:tc>
          <w:tcPr>
            <w:tcW w:type="dxa" w:w="3120"/>
          </w:tcPr>
          <w:p>
            <w:pPr>
              <w:spacing w:line="240" w:lineRule="auto"/>
            </w:pPr>
            <w:r>
              <w:rPr>
                <w:rFonts w:ascii="Times New Roman" w:hAnsi="Times New Roman"/>
                <w:sz w:val="18"/>
              </w:rPr>
              <w:t>20,000</w:t>
            </w:r>
          </w:p>
        </w:tc>
        <w:tc>
          <w:tcPr>
            <w:tcW w:type="dxa" w:w="3120"/>
          </w:tcPr>
          <w:p>
            <w:pPr>
              <w:spacing w:line="240" w:lineRule="auto"/>
            </w:pPr>
            <w:r>
              <w:rPr>
                <w:rFonts w:ascii="Times New Roman" w:hAnsi="Times New Roman"/>
                <w:sz w:val="18"/>
              </w:rPr>
              <w:t>Permisos, asesoría, salvaguardas y revisión independiente</w:t>
            </w:r>
          </w:p>
        </w:tc>
      </w:tr>
      <w:tr>
        <w:trPr>
          <w:cantSplit/>
        </w:trPr>
        <w:tc>
          <w:tcPr>
            <w:tcW w:type="dxa" w:w="3120"/>
          </w:tcPr>
          <w:p>
            <w:pPr>
              <w:spacing w:line="240" w:lineRule="auto"/>
            </w:pPr>
            <w:r>
              <w:rPr>
                <w:rFonts w:ascii="Times New Roman" w:hAnsi="Times New Roman"/>
                <w:sz w:val="18"/>
              </w:rPr>
              <w:t>Gestión, auditoría y comunicación</w:t>
            </w:r>
          </w:p>
        </w:tc>
        <w:tc>
          <w:tcPr>
            <w:tcW w:type="dxa" w:w="3120"/>
          </w:tcPr>
          <w:p>
            <w:pPr>
              <w:spacing w:line="240" w:lineRule="auto"/>
            </w:pPr>
            <w:r>
              <w:rPr>
                <w:rFonts w:ascii="Times New Roman" w:hAnsi="Times New Roman"/>
                <w:sz w:val="18"/>
              </w:rPr>
              <w:t>18,000</w:t>
            </w:r>
          </w:p>
        </w:tc>
        <w:tc>
          <w:tcPr>
            <w:tcW w:type="dxa" w:w="3120"/>
          </w:tcPr>
          <w:p>
            <w:pPr>
              <w:spacing w:line="240" w:lineRule="auto"/>
            </w:pPr>
            <w:r>
              <w:rPr>
                <w:rFonts w:ascii="Times New Roman" w:hAnsi="Times New Roman"/>
                <w:sz w:val="18"/>
              </w:rPr>
              <w:t>Administración, informes y divulgación</w:t>
            </w:r>
          </w:p>
        </w:tc>
      </w:tr>
      <w:tr>
        <w:trPr>
          <w:cantSplit/>
        </w:trPr>
        <w:tc>
          <w:tcPr>
            <w:tcW w:type="dxa" w:w="3120"/>
          </w:tcPr>
          <w:p>
            <w:pPr>
              <w:spacing w:line="240" w:lineRule="auto"/>
            </w:pPr>
            <w:r>
              <w:rPr>
                <w:rFonts w:ascii="Times New Roman" w:hAnsi="Times New Roman"/>
                <w:sz w:val="18"/>
              </w:rPr>
              <w:t>Contingencia (aprox. 10 %)</w:t>
            </w:r>
          </w:p>
        </w:tc>
        <w:tc>
          <w:tcPr>
            <w:tcW w:type="dxa" w:w="3120"/>
          </w:tcPr>
          <w:p>
            <w:pPr>
              <w:spacing w:line="240" w:lineRule="auto"/>
            </w:pPr>
            <w:r>
              <w:rPr>
                <w:rFonts w:ascii="Times New Roman" w:hAnsi="Times New Roman"/>
                <w:sz w:val="18"/>
              </w:rPr>
              <w:t>35,800</w:t>
            </w:r>
          </w:p>
        </w:tc>
        <w:tc>
          <w:tcPr>
            <w:tcW w:type="dxa" w:w="3120"/>
          </w:tcPr>
          <w:p>
            <w:pPr>
              <w:spacing w:line="240" w:lineRule="auto"/>
            </w:pPr>
            <w:r>
              <w:rPr>
                <w:rFonts w:ascii="Times New Roman" w:hAnsi="Times New Roman"/>
                <w:sz w:val="18"/>
              </w:rPr>
              <w:t>Variaciones de precios y necesidades imprevistas</w:t>
            </w:r>
          </w:p>
        </w:tc>
      </w:tr>
      <w:tr>
        <w:trPr>
          <w:cantSplit/>
        </w:trPr>
        <w:tc>
          <w:tcPr>
            <w:tcW w:type="dxa" w:w="3120"/>
          </w:tcPr>
          <w:p>
            <w:pPr>
              <w:spacing w:line="240" w:lineRule="auto"/>
            </w:pPr>
            <w:r>
              <w:rPr>
                <w:rFonts w:ascii="Times New Roman" w:hAnsi="Times New Roman"/>
                <w:sz w:val="18"/>
              </w:rPr>
              <w:t>TOTAL ESTIMADO</w:t>
            </w:r>
          </w:p>
        </w:tc>
        <w:tc>
          <w:tcPr>
            <w:tcW w:type="dxa" w:w="3120"/>
          </w:tcPr>
          <w:p>
            <w:pPr>
              <w:spacing w:line="240" w:lineRule="auto"/>
            </w:pPr>
            <w:r>
              <w:rPr>
                <w:rFonts w:ascii="Times New Roman" w:hAnsi="Times New Roman"/>
                <w:sz w:val="18"/>
              </w:rPr>
              <w:t>393,800</w:t>
            </w:r>
          </w:p>
        </w:tc>
        <w:tc>
          <w:tcPr>
            <w:tcW w:type="dxa" w:w="3120"/>
          </w:tcPr>
          <w:p>
            <w:pPr>
              <w:spacing w:line="240" w:lineRule="auto"/>
            </w:pPr>
            <w:r>
              <w:rPr>
                <w:rFonts w:ascii="Times New Roman" w:hAnsi="Times New Roman"/>
                <w:sz w:val="18"/>
              </w:rPr>
              <w:t>Estimación para planificación; sujeta a validación</w:t>
            </w:r>
          </w:p>
        </w:tc>
      </w:tr>
    </w:tbl>
    <w:p>
      <w:pPr>
        <w:pStyle w:val="Heading2"/>
      </w:pPr>
      <w:r>
        <w:t>Cronograma de ejecución (36 meses)</w:t>
      </w:r>
    </w:p>
    <w:tbl>
      <w:tblPr>
        <w:tblStyle w:val="TableGrid"/>
        <w:tblW w:type="auto" w:w="0"/>
        <w:jc w:val="center"/>
        <w:tblLook w:firstColumn="1" w:firstRow="1" w:lastColumn="0" w:lastRow="0" w:noHBand="0" w:noVBand="1" w:val="04A0"/>
      </w:tblPr>
      <w:tblGrid>
        <w:gridCol w:w="2340"/>
        <w:gridCol w:w="2340"/>
        <w:gridCol w:w="2340"/>
        <w:gridCol w:w="2340"/>
      </w:tblGrid>
      <w:tr>
        <w:trPr>
          <w:cantSplit/>
        </w:trPr>
        <w:tc>
          <w:tcPr>
            <w:tcW w:type="dxa" w:w="2340"/>
          </w:tcPr>
          <w:p>
            <w:pPr>
              <w:spacing w:line="240" w:lineRule="auto"/>
            </w:pPr>
            <w:r>
              <w:rPr>
                <w:rFonts w:ascii="Times New Roman" w:hAnsi="Times New Roman"/>
                <w:sz w:val="18"/>
              </w:rPr>
              <w:t>Fase</w:t>
            </w:r>
          </w:p>
        </w:tc>
        <w:tc>
          <w:tcPr>
            <w:tcW w:type="dxa" w:w="2340"/>
          </w:tcPr>
          <w:p>
            <w:pPr>
              <w:spacing w:line="240" w:lineRule="auto"/>
            </w:pPr>
            <w:r>
              <w:rPr>
                <w:rFonts w:ascii="Times New Roman" w:hAnsi="Times New Roman"/>
                <w:sz w:val="18"/>
              </w:rPr>
              <w:t>Meses</w:t>
            </w:r>
          </w:p>
        </w:tc>
        <w:tc>
          <w:tcPr>
            <w:tcW w:type="dxa" w:w="2340"/>
          </w:tcPr>
          <w:p>
            <w:pPr>
              <w:spacing w:line="240" w:lineRule="auto"/>
            </w:pPr>
            <w:r>
              <w:rPr>
                <w:rFonts w:ascii="Times New Roman" w:hAnsi="Times New Roman"/>
                <w:sz w:val="18"/>
              </w:rPr>
              <w:t>Actividad principal</w:t>
            </w:r>
          </w:p>
        </w:tc>
        <w:tc>
          <w:tcPr>
            <w:tcW w:type="dxa" w:w="2340"/>
          </w:tcPr>
          <w:p>
            <w:pPr>
              <w:spacing w:line="240" w:lineRule="auto"/>
            </w:pPr>
            <w:r>
              <w:rPr>
                <w:rFonts w:ascii="Times New Roman" w:hAnsi="Times New Roman"/>
                <w:sz w:val="18"/>
              </w:rPr>
              <w:t>Producto</w:t>
            </w:r>
          </w:p>
        </w:tc>
      </w:tr>
      <w:tr>
        <w:trPr>
          <w:cantSplit/>
        </w:trPr>
        <w:tc>
          <w:tcPr>
            <w:tcW w:type="dxa" w:w="2340"/>
          </w:tcPr>
          <w:p>
            <w:pPr>
              <w:spacing w:line="240" w:lineRule="auto"/>
            </w:pPr>
            <w:r>
              <w:rPr>
                <w:rFonts w:ascii="Times New Roman" w:hAnsi="Times New Roman"/>
                <w:sz w:val="18"/>
              </w:rPr>
              <w:t>1</w:t>
            </w:r>
          </w:p>
        </w:tc>
        <w:tc>
          <w:tcPr>
            <w:tcW w:type="dxa" w:w="2340"/>
          </w:tcPr>
          <w:p>
            <w:pPr>
              <w:spacing w:line="240" w:lineRule="auto"/>
            </w:pPr>
            <w:r>
              <w:rPr>
                <w:rFonts w:ascii="Times New Roman" w:hAnsi="Times New Roman"/>
                <w:sz w:val="18"/>
              </w:rPr>
              <w:t>1–4</w:t>
            </w:r>
          </w:p>
        </w:tc>
        <w:tc>
          <w:tcPr>
            <w:tcW w:type="dxa" w:w="2340"/>
          </w:tcPr>
          <w:p>
            <w:pPr>
              <w:spacing w:line="240" w:lineRule="auto"/>
            </w:pPr>
            <w:r>
              <w:rPr>
                <w:rFonts w:ascii="Times New Roman" w:hAnsi="Times New Roman"/>
                <w:sz w:val="18"/>
              </w:rPr>
              <w:t>Diagnóstico, acuerdos y selección de sitios</w:t>
            </w:r>
          </w:p>
        </w:tc>
        <w:tc>
          <w:tcPr>
            <w:tcW w:type="dxa" w:w="2340"/>
          </w:tcPr>
          <w:p>
            <w:pPr>
              <w:spacing w:line="240" w:lineRule="auto"/>
            </w:pPr>
            <w:r>
              <w:rPr>
                <w:rFonts w:ascii="Times New Roman" w:hAnsi="Times New Roman"/>
                <w:sz w:val="18"/>
              </w:rPr>
              <w:t>Informe de diagnóstico</w:t>
            </w:r>
          </w:p>
        </w:tc>
      </w:tr>
      <w:tr>
        <w:trPr>
          <w:cantSplit/>
        </w:trPr>
        <w:tc>
          <w:tcPr>
            <w:tcW w:type="dxa" w:w="2340"/>
          </w:tcPr>
          <w:p>
            <w:pPr>
              <w:spacing w:line="240" w:lineRule="auto"/>
            </w:pPr>
            <w:r>
              <w:rPr>
                <w:rFonts w:ascii="Times New Roman" w:hAnsi="Times New Roman"/>
                <w:sz w:val="18"/>
              </w:rPr>
              <w:t>2</w:t>
            </w:r>
          </w:p>
        </w:tc>
        <w:tc>
          <w:tcPr>
            <w:tcW w:type="dxa" w:w="2340"/>
          </w:tcPr>
          <w:p>
            <w:pPr>
              <w:spacing w:line="240" w:lineRule="auto"/>
            </w:pPr>
            <w:r>
              <w:rPr>
                <w:rFonts w:ascii="Times New Roman" w:hAnsi="Times New Roman"/>
                <w:sz w:val="18"/>
              </w:rPr>
              <w:t>5–8</w:t>
            </w:r>
          </w:p>
        </w:tc>
        <w:tc>
          <w:tcPr>
            <w:tcW w:type="dxa" w:w="2340"/>
          </w:tcPr>
          <w:p>
            <w:pPr>
              <w:spacing w:line="240" w:lineRule="auto"/>
            </w:pPr>
            <w:r>
              <w:rPr>
                <w:rFonts w:ascii="Times New Roman" w:hAnsi="Times New Roman"/>
                <w:sz w:val="18"/>
              </w:rPr>
              <w:t>Línea base y diseño participativo</w:t>
            </w:r>
          </w:p>
        </w:tc>
        <w:tc>
          <w:tcPr>
            <w:tcW w:type="dxa" w:w="2340"/>
          </w:tcPr>
          <w:p>
            <w:pPr>
              <w:spacing w:line="240" w:lineRule="auto"/>
            </w:pPr>
            <w:r>
              <w:rPr>
                <w:rFonts w:ascii="Times New Roman" w:hAnsi="Times New Roman"/>
                <w:sz w:val="18"/>
              </w:rPr>
              <w:t>Plan y línea base</w:t>
            </w:r>
          </w:p>
        </w:tc>
      </w:tr>
      <w:tr>
        <w:trPr>
          <w:cantSplit/>
        </w:trPr>
        <w:tc>
          <w:tcPr>
            <w:tcW w:type="dxa" w:w="2340"/>
          </w:tcPr>
          <w:p>
            <w:pPr>
              <w:spacing w:line="240" w:lineRule="auto"/>
            </w:pPr>
            <w:r>
              <w:rPr>
                <w:rFonts w:ascii="Times New Roman" w:hAnsi="Times New Roman"/>
                <w:sz w:val="18"/>
              </w:rPr>
              <w:t>3</w:t>
            </w:r>
          </w:p>
        </w:tc>
        <w:tc>
          <w:tcPr>
            <w:tcW w:type="dxa" w:w="2340"/>
          </w:tcPr>
          <w:p>
            <w:pPr>
              <w:spacing w:line="240" w:lineRule="auto"/>
            </w:pPr>
            <w:r>
              <w:rPr>
                <w:rFonts w:ascii="Times New Roman" w:hAnsi="Times New Roman"/>
                <w:sz w:val="18"/>
              </w:rPr>
              <w:t>9–12</w:t>
            </w:r>
          </w:p>
        </w:tc>
        <w:tc>
          <w:tcPr>
            <w:tcW w:type="dxa" w:w="2340"/>
          </w:tcPr>
          <w:p>
            <w:pPr>
              <w:spacing w:line="240" w:lineRule="auto"/>
            </w:pPr>
            <w:r>
              <w:rPr>
                <w:rFonts w:ascii="Times New Roman" w:hAnsi="Times New Roman"/>
                <w:sz w:val="18"/>
              </w:rPr>
              <w:t>Adquisiciones, permisos y capacitación</w:t>
            </w:r>
          </w:p>
        </w:tc>
        <w:tc>
          <w:tcPr>
            <w:tcW w:type="dxa" w:w="2340"/>
          </w:tcPr>
          <w:p>
            <w:pPr>
              <w:spacing w:line="240" w:lineRule="auto"/>
            </w:pPr>
            <w:r>
              <w:rPr>
                <w:rFonts w:ascii="Times New Roman" w:hAnsi="Times New Roman"/>
                <w:sz w:val="18"/>
              </w:rPr>
              <w:t>Protocolos aprobados</w:t>
            </w:r>
          </w:p>
        </w:tc>
      </w:tr>
      <w:tr>
        <w:trPr>
          <w:cantSplit/>
        </w:trPr>
        <w:tc>
          <w:tcPr>
            <w:tcW w:type="dxa" w:w="2340"/>
          </w:tcPr>
          <w:p>
            <w:pPr>
              <w:spacing w:line="240" w:lineRule="auto"/>
            </w:pPr>
            <w:r>
              <w:rPr>
                <w:rFonts w:ascii="Times New Roman" w:hAnsi="Times New Roman"/>
                <w:sz w:val="18"/>
              </w:rPr>
              <w:t>4</w:t>
            </w:r>
          </w:p>
        </w:tc>
        <w:tc>
          <w:tcPr>
            <w:tcW w:type="dxa" w:w="2340"/>
          </w:tcPr>
          <w:p>
            <w:pPr>
              <w:spacing w:line="240" w:lineRule="auto"/>
            </w:pPr>
            <w:r>
              <w:rPr>
                <w:rFonts w:ascii="Times New Roman" w:hAnsi="Times New Roman"/>
                <w:sz w:val="18"/>
              </w:rPr>
              <w:t>13–24</w:t>
            </w:r>
          </w:p>
        </w:tc>
        <w:tc>
          <w:tcPr>
            <w:tcW w:type="dxa" w:w="2340"/>
          </w:tcPr>
          <w:p>
            <w:pPr>
              <w:spacing w:line="240" w:lineRule="auto"/>
            </w:pPr>
            <w:r>
              <w:rPr>
                <w:rFonts w:ascii="Times New Roman" w:hAnsi="Times New Roman"/>
                <w:sz w:val="18"/>
              </w:rPr>
              <w:t>Restauración piloto y monitoreo</w:t>
            </w:r>
          </w:p>
        </w:tc>
        <w:tc>
          <w:tcPr>
            <w:tcW w:type="dxa" w:w="2340"/>
          </w:tcPr>
          <w:p>
            <w:pPr>
              <w:spacing w:line="240" w:lineRule="auto"/>
            </w:pPr>
            <w:r>
              <w:rPr>
                <w:rFonts w:ascii="Times New Roman" w:hAnsi="Times New Roman"/>
                <w:sz w:val="18"/>
              </w:rPr>
              <w:t>Informes semestrales</w:t>
            </w:r>
          </w:p>
        </w:tc>
      </w:tr>
      <w:tr>
        <w:trPr>
          <w:cantSplit/>
        </w:trPr>
        <w:tc>
          <w:tcPr>
            <w:tcW w:type="dxa" w:w="2340"/>
          </w:tcPr>
          <w:p>
            <w:pPr>
              <w:spacing w:line="240" w:lineRule="auto"/>
            </w:pPr>
            <w:r>
              <w:rPr>
                <w:rFonts w:ascii="Times New Roman" w:hAnsi="Times New Roman"/>
                <w:sz w:val="18"/>
              </w:rPr>
              <w:t>5</w:t>
            </w:r>
          </w:p>
        </w:tc>
        <w:tc>
          <w:tcPr>
            <w:tcW w:type="dxa" w:w="2340"/>
          </w:tcPr>
          <w:p>
            <w:pPr>
              <w:spacing w:line="240" w:lineRule="auto"/>
            </w:pPr>
            <w:r>
              <w:rPr>
                <w:rFonts w:ascii="Times New Roman" w:hAnsi="Times New Roman"/>
                <w:sz w:val="18"/>
              </w:rPr>
              <w:t>25–32</w:t>
            </w:r>
          </w:p>
        </w:tc>
        <w:tc>
          <w:tcPr>
            <w:tcW w:type="dxa" w:w="2340"/>
          </w:tcPr>
          <w:p>
            <w:pPr>
              <w:spacing w:line="240" w:lineRule="auto"/>
            </w:pPr>
            <w:r>
              <w:rPr>
                <w:rFonts w:ascii="Times New Roman" w:hAnsi="Times New Roman"/>
                <w:sz w:val="18"/>
              </w:rPr>
              <w:t>Evaluación hidrológica, ecológica y económica</w:t>
            </w:r>
          </w:p>
        </w:tc>
        <w:tc>
          <w:tcPr>
            <w:tcW w:type="dxa" w:w="2340"/>
          </w:tcPr>
          <w:p>
            <w:pPr>
              <w:spacing w:line="240" w:lineRule="auto"/>
            </w:pPr>
            <w:r>
              <w:rPr>
                <w:rFonts w:ascii="Times New Roman" w:hAnsi="Times New Roman"/>
                <w:sz w:val="18"/>
              </w:rPr>
              <w:t>Evaluación preliminar</w:t>
            </w:r>
          </w:p>
        </w:tc>
      </w:tr>
      <w:tr>
        <w:trPr>
          <w:cantSplit/>
        </w:trPr>
        <w:tc>
          <w:tcPr>
            <w:tcW w:type="dxa" w:w="2340"/>
          </w:tcPr>
          <w:p>
            <w:pPr>
              <w:spacing w:line="240" w:lineRule="auto"/>
            </w:pPr>
            <w:r>
              <w:rPr>
                <w:rFonts w:ascii="Times New Roman" w:hAnsi="Times New Roman"/>
                <w:sz w:val="18"/>
              </w:rPr>
              <w:t>6</w:t>
            </w:r>
          </w:p>
        </w:tc>
        <w:tc>
          <w:tcPr>
            <w:tcW w:type="dxa" w:w="2340"/>
          </w:tcPr>
          <w:p>
            <w:pPr>
              <w:spacing w:line="240" w:lineRule="auto"/>
            </w:pPr>
            <w:r>
              <w:rPr>
                <w:rFonts w:ascii="Times New Roman" w:hAnsi="Times New Roman"/>
                <w:sz w:val="18"/>
              </w:rPr>
              <w:t>33–36</w:t>
            </w:r>
          </w:p>
        </w:tc>
        <w:tc>
          <w:tcPr>
            <w:tcW w:type="dxa" w:w="2340"/>
          </w:tcPr>
          <w:p>
            <w:pPr>
              <w:spacing w:line="240" w:lineRule="auto"/>
            </w:pPr>
            <w:r>
              <w:rPr>
                <w:rFonts w:ascii="Times New Roman" w:hAnsi="Times New Roman"/>
                <w:sz w:val="18"/>
              </w:rPr>
              <w:t>Análisis final, divulgación y plan de escalamiento</w:t>
            </w:r>
          </w:p>
        </w:tc>
        <w:tc>
          <w:tcPr>
            <w:tcW w:type="dxa" w:w="2340"/>
          </w:tcPr>
          <w:p>
            <w:pPr>
              <w:spacing w:line="240" w:lineRule="auto"/>
            </w:pPr>
            <w:r>
              <w:rPr>
                <w:rFonts w:ascii="Times New Roman" w:hAnsi="Times New Roman"/>
                <w:sz w:val="18"/>
              </w:rPr>
              <w:t>Informe final y propuesta de continuidad</w:t>
            </w:r>
          </w:p>
        </w:tc>
      </w:tr>
    </w:tbl>
    <w:p>
      <w:pPr>
        <w:pStyle w:val="Heading2"/>
      </w:pPr>
      <w:r>
        <w:t>Evaluación y seguimiento</w:t>
      </w:r>
    </w:p>
    <w:p>
      <w:pPr>
        <w:ind w:firstLine="720"/>
      </w:pPr>
      <w:r>
        <w:rPr>
          <w:b w:val="0"/>
          <w:i w:val="0"/>
        </w:rPr>
        <w:t>La evaluación será continua y al cierre de cada fase. Se compararán los indicadores con la línea base y, cuando sea viable, con áreas de referencia. La supervivencia vegetal no se usará como único indicador de éxito; se considerarán también cobertura nativa, erosión, humedad del suelo, caudal, calidad del agua, costos y participación social. Para atribuir cambios a las intervenciones se documentarán factores externos como precipitación regional, extracciones de agua, incendios y cambios de uso del suelo.</w:t>
      </w:r>
    </w:p>
    <w:p>
      <w:pPr>
        <w:ind w:firstLine="720"/>
      </w:pPr>
      <w:r>
        <w:rPr>
          <w:b w:val="0"/>
          <w:i w:val="0"/>
        </w:rPr>
        <w:t>Los resultados deberán publicarse con métodos, datos agregados cuando sea posible, limitaciones y explicaciones de incertidumbre. Si no se observan mejoras hidrológicas durante el período piloto, se informará sin ocultarlo y se revisará el diseño. Los beneficios de biodiversidad, suelo y reducción de erosión pueden ser valiosos aunque no se detecte aumento de precipitación.</w:t>
      </w:r>
    </w:p>
    <w:p>
      <w:pPr>
        <w:pStyle w:val="Heading2"/>
      </w:pPr>
      <w:r>
        <w:t>Sostenibilidad y escalamiento</w:t>
      </w:r>
    </w:p>
    <w:p>
      <w:pPr>
        <w:ind w:firstLine="720"/>
      </w:pPr>
      <w:r>
        <w:rPr>
          <w:b w:val="0"/>
          <w:i w:val="0"/>
        </w:rPr>
        <w:t>La continuidad dependerá de que las instituciones locales puedan financiar mantenimiento y monitoreo tras el piloto. Se recomienda capacitar personal de las comunidades, incorporar la restauración a planes de cuenca y abastecimiento, establecer viveros con especies nativas y mantener alianzas universitarias. El escalamiento se realizará solo cuando los resultados y costos justifiquen ampliar la intervención.</w:t>
      </w:r>
    </w:p>
    <w:p>
      <w:pPr>
        <w:pStyle w:val="Heading1"/>
      </w:pPr>
      <w:r>
        <w:t>Conclusiones</w:t>
      </w:r>
    </w:p>
    <w:p>
      <w:pPr>
        <w:ind w:firstLine="720"/>
      </w:pPr>
      <w:r>
        <w:rPr>
          <w:b w:val="0"/>
          <w:i w:val="0"/>
        </w:rPr>
        <w:t>La recuperación del ciclo del agua en Venezuela requiere una estrategia integral que combine conservación de cuencas, restauración ecológica, gestión de demanda, infraestructura, vigilancia de calidad del agua y adaptación climática. El proyecto factible propuesto organiza estas tareas en fases evaluables y con participación local.</w:t>
      </w:r>
    </w:p>
    <w:p>
      <w:pPr>
        <w:ind w:firstLine="720"/>
      </w:pPr>
      <w:r>
        <w:rPr>
          <w:b w:val="0"/>
          <w:i w:val="0"/>
        </w:rPr>
        <w:t>El documento aportado proporciona una hipótesis interesante de conectividad ecológica entre África occidental, el Atlántico tropical y Sudamérica. Sin embargo, la afirmación de que esas acciones crearían un “escudo de humedad” o romperían los efectos de El Niño no puede presentarse como un hecho establecido. Debe evaluarse con datos meteorológicos, modelos y revisión científica independiente.</w:t>
      </w:r>
    </w:p>
    <w:p>
      <w:pPr>
        <w:ind w:firstLine="720"/>
      </w:pPr>
      <w:r>
        <w:rPr>
          <w:b w:val="0"/>
          <w:i w:val="0"/>
        </w:rPr>
        <w:t>La opción más viable para iniciar es actuar en cuencas venezolanas y construir una base de datos sólida, mientras se establecen alianzas para estudiar relaciones atmosféricas regionales. Las intervenciones de geoingeniería marina presentan incertidumbres y riesgos que justifican un enfoque precautorio, evaluación jurídica y ambiental y ausencia de despliegue operacional hasta contar con evidencia y autorizaciones.</w:t>
      </w:r>
    </w:p>
    <w:p>
      <w:pPr>
        <w:ind w:firstLine="720"/>
      </w:pPr>
      <w:r>
        <w:rPr>
          <w:b w:val="0"/>
          <w:i w:val="0"/>
        </w:rPr>
        <w:t>En síntesis, la factibilidad del proyecto reside en que sus componentes principales —restauración de ecosistemas terrestres, monitoreo, capacitación y cooperación— pueden ejecutarse por etapas y generar resultados verificables, sin depender de una promesa de control del clima global.</w:t>
      </w:r>
    </w:p>
    <w:p>
      <w:pPr>
        <w:pStyle w:val="Heading1"/>
      </w:pPr>
      <w:r>
        <w:t>Recomendaciones</w:t>
      </w:r>
    </w:p>
    <w:p>
      <w:pPr>
        <w:pStyle w:val="ListBullet"/>
        <w:spacing w:line="480" w:lineRule="auto"/>
      </w:pPr>
      <w:r>
        <w:t>Seleccionar las cuencas piloto mediante criterios públicos y datos oficiales, no por conveniencia política.</w:t>
      </w:r>
    </w:p>
    <w:p>
      <w:pPr>
        <w:pStyle w:val="ListBullet"/>
        <w:spacing w:line="480" w:lineRule="auto"/>
      </w:pPr>
      <w:r>
        <w:t>Realizar una revisión científica independiente del modelo de conectividad atmosférica planteado en el documento base.</w:t>
      </w:r>
    </w:p>
    <w:p>
      <w:pPr>
        <w:pStyle w:val="ListBullet"/>
        <w:spacing w:line="480" w:lineRule="auto"/>
      </w:pPr>
      <w:r>
        <w:t>Priorizar regeneración natural y restauración con especies nativas apropiadas al ecosistema, con mantenimiento a largo plazo.</w:t>
      </w:r>
    </w:p>
    <w:p>
      <w:pPr>
        <w:pStyle w:val="ListBullet"/>
        <w:spacing w:line="480" w:lineRule="auto"/>
      </w:pPr>
      <w:r>
        <w:t>Constituir un equipo interdisciplinario con especialistas en hidrología, meteorología, ecología, derecho ambiental, economía y participación comunitaria.</w:t>
      </w:r>
    </w:p>
    <w:p>
      <w:pPr>
        <w:pStyle w:val="ListBullet"/>
        <w:spacing w:line="480" w:lineRule="auto"/>
      </w:pPr>
      <w:r>
        <w:t>Verificar la participación y las obligaciones vigentes de Venezuela en cada tratado antes de formular compromisos jurídicos específicos.</w:t>
      </w:r>
    </w:p>
    <w:p>
      <w:pPr>
        <w:pStyle w:val="ListBullet"/>
        <w:spacing w:line="480" w:lineRule="auto"/>
      </w:pPr>
      <w:r>
        <w:t>No ejecutar fertilización oceánica, siembra de nubes u otras técnicas de geoingeniería sin evaluación de impacto, autorización legal y supervisión científica.</w:t>
      </w:r>
    </w:p>
    <w:p>
      <w:pPr>
        <w:pStyle w:val="ListBullet"/>
        <w:spacing w:line="480" w:lineRule="auto"/>
      </w:pPr>
      <w:r>
        <w:t>Publicar indicadores y resultados, incluyendo resultados nulos o adversos, para permitir reproducibilidad y aprendizaje.</w:t>
      </w:r>
    </w:p>
    <w:p>
      <w:pPr>
        <w:pStyle w:val="Heading1"/>
      </w:pPr>
      <w:r>
        <w:t>Referencias</w:t>
      </w:r>
    </w:p>
    <w:p>
      <w:pPr>
        <w:spacing w:line="480" w:lineRule="auto"/>
        <w:ind w:left="720" w:hanging="720"/>
      </w:pPr>
      <w:r>
        <w:t xml:space="preserve">Convention on Biological Diversity. (2022, 19 de diciembre). </w:t>
      </w:r>
      <w:r>
        <w:rPr>
          <w:i/>
        </w:rPr>
        <w:t>Kunming-Montreal Global Biodiversity Framework.</w:t>
      </w:r>
      <w:r>
        <w:t xml:space="preserve"> https://www.cbd.int/doc/decisions/cop-15/cop-15-dec-04-en.pdf</w:t>
      </w:r>
    </w:p>
    <w:p>
      <w:pPr>
        <w:spacing w:line="480" w:lineRule="auto"/>
        <w:ind w:left="720" w:hanging="720"/>
      </w:pPr>
      <w:r>
        <w:t xml:space="preserve">International Maritime Organization. (s. f.). </w:t>
      </w:r>
      <w:r>
        <w:rPr>
          <w:i/>
        </w:rPr>
        <w:t>Geoingeniería marina.</w:t>
      </w:r>
      <w:r>
        <w:t xml:space="preserve"> https://www.imo.org/es/ourwork/environment/pages/geoengineering-default.aspx</w:t>
      </w:r>
    </w:p>
    <w:p>
      <w:pPr>
        <w:spacing w:line="480" w:lineRule="auto"/>
        <w:ind w:left="720" w:hanging="720"/>
      </w:pPr>
      <w:r>
        <w:t xml:space="preserve">National Oceanic and Atmospheric Administration. (s. f.). </w:t>
      </w:r>
      <w:r>
        <w:rPr>
          <w:i/>
        </w:rPr>
        <w:t>Understanding El Niño &amp; ENSO.</w:t>
      </w:r>
      <w:r>
        <w:t xml:space="preserve"> https://www.noaa.gov/understanding-el-nino</w:t>
      </w:r>
    </w:p>
    <w:p>
      <w:pPr>
        <w:spacing w:line="480" w:lineRule="auto"/>
        <w:ind w:left="720" w:hanging="720"/>
      </w:pPr>
      <w:r>
        <w:t xml:space="preserve">United Nations Convention to Combat Desertification. (s. f.). </w:t>
      </w:r>
      <w:r>
        <w:rPr>
          <w:i/>
        </w:rPr>
        <w:t>Great Green Wall Initiative.</w:t>
      </w:r>
      <w:r>
        <w:t xml:space="preserve"> https://www.unccd.int/our-work/ggwi</w:t>
      </w:r>
    </w:p>
    <w:p>
      <w:pPr>
        <w:spacing w:line="480" w:lineRule="auto"/>
        <w:ind w:left="720" w:hanging="720"/>
      </w:pPr>
      <w:r>
        <w:t xml:space="preserve">United Nations Framework Convention on Climate Change. (2015). </w:t>
      </w:r>
      <w:r>
        <w:rPr>
          <w:i/>
        </w:rPr>
        <w:t>The Paris Agreement.</w:t>
      </w:r>
      <w:r>
        <w:t xml:space="preserve"> https://unfccc.int/sites/default/files/english_paris_agreement.pdf</w:t>
      </w:r>
    </w:p>
    <w:p>
      <w:pPr>
        <w:spacing w:line="480" w:lineRule="auto"/>
        <w:ind w:left="720" w:hanging="720"/>
      </w:pPr>
      <w:r>
        <w:t xml:space="preserve">United Nations. (2015). </w:t>
      </w:r>
      <w:r>
        <w:rPr>
          <w:i/>
        </w:rPr>
        <w:t>Transforming our world: The 2030 Agenda for Sustainable Development (A/RES/70/1).</w:t>
      </w:r>
      <w:r>
        <w:t xml:space="preserve"> https://sdgs.un.org/2030agenda</w:t>
      </w:r>
    </w:p>
    <w:p>
      <w:pPr>
        <w:spacing w:line="480" w:lineRule="auto"/>
        <w:ind w:left="720" w:hanging="720"/>
      </w:pPr>
      <w:r>
        <w:t xml:space="preserve">Autor no identificado. (s. f.). </w:t>
      </w:r>
      <w:r>
        <w:rPr>
          <w:i/>
        </w:rPr>
        <w:t>El impacto en El Niño vs. el impacto en Venezuela [Documento PDF proporcionado por el usuario].</w:t>
      </w:r>
      <w:r/>
    </w:p>
    <w:p>
      <w:pPr>
        <w:pStyle w:val="Heading1"/>
      </w:pPr>
      <w:r>
        <w:t>Anexo A. Matriz de correspondencia</w:t>
      </w:r>
    </w:p>
    <w:tbl>
      <w:tblPr>
        <w:tblStyle w:val="TableGrid"/>
        <w:tblW w:type="auto" w:w="0"/>
        <w:tblLook w:firstColumn="1" w:firstRow="1" w:lastColumn="0" w:lastRow="0" w:noHBand="0" w:noVBand="1" w:val="04A0"/>
      </w:tblPr>
      <w:tblGrid>
        <w:gridCol w:w="3120"/>
        <w:gridCol w:w="3120"/>
        <w:gridCol w:w="3120"/>
      </w:tblGrid>
      <w:tr>
        <w:trPr>
          <w:cantSplit/>
        </w:trPr>
        <w:tc>
          <w:tcPr>
            <w:tcW w:type="dxa" w:w="3120"/>
          </w:tcPr>
          <w:p>
            <w:pPr>
              <w:spacing w:line="240" w:lineRule="auto"/>
            </w:pPr>
            <w:r>
              <w:rPr>
                <w:rFonts w:ascii="Times New Roman" w:hAnsi="Times New Roman"/>
                <w:sz w:val="18"/>
              </w:rPr>
              <w:t>Objetivo específico</w:t>
            </w:r>
          </w:p>
        </w:tc>
        <w:tc>
          <w:tcPr>
            <w:tcW w:type="dxa" w:w="3120"/>
          </w:tcPr>
          <w:p>
            <w:pPr>
              <w:spacing w:line="240" w:lineRule="auto"/>
            </w:pPr>
            <w:r>
              <w:rPr>
                <w:rFonts w:ascii="Times New Roman" w:hAnsi="Times New Roman"/>
                <w:sz w:val="18"/>
              </w:rPr>
              <w:t>Actividad principal</w:t>
            </w:r>
          </w:p>
        </w:tc>
        <w:tc>
          <w:tcPr>
            <w:tcW w:type="dxa" w:w="3120"/>
          </w:tcPr>
          <w:p>
            <w:pPr>
              <w:spacing w:line="240" w:lineRule="auto"/>
            </w:pPr>
            <w:r>
              <w:rPr>
                <w:rFonts w:ascii="Times New Roman" w:hAnsi="Times New Roman"/>
                <w:sz w:val="18"/>
              </w:rPr>
              <w:t>Evidencia de cumplimiento</w:t>
            </w:r>
          </w:p>
        </w:tc>
      </w:tr>
      <w:tr>
        <w:trPr>
          <w:cantSplit/>
        </w:trPr>
        <w:tc>
          <w:tcPr>
            <w:tcW w:type="dxa" w:w="3120"/>
          </w:tcPr>
          <w:p>
            <w:pPr>
              <w:spacing w:line="240" w:lineRule="auto"/>
            </w:pPr>
            <w:r>
              <w:rPr>
                <w:rFonts w:ascii="Times New Roman" w:hAnsi="Times New Roman"/>
                <w:sz w:val="18"/>
              </w:rPr>
              <w:t>Diagnosticar cuencas</w:t>
            </w:r>
          </w:p>
        </w:tc>
        <w:tc>
          <w:tcPr>
            <w:tcW w:type="dxa" w:w="3120"/>
          </w:tcPr>
          <w:p>
            <w:pPr>
              <w:spacing w:line="240" w:lineRule="auto"/>
            </w:pPr>
            <w:r>
              <w:rPr>
                <w:rFonts w:ascii="Times New Roman" w:hAnsi="Times New Roman"/>
                <w:sz w:val="18"/>
              </w:rPr>
              <w:t>SIG, visitas, fuentes oficiales</w:t>
            </w:r>
          </w:p>
        </w:tc>
        <w:tc>
          <w:tcPr>
            <w:tcW w:type="dxa" w:w="3120"/>
          </w:tcPr>
          <w:p>
            <w:pPr>
              <w:spacing w:line="240" w:lineRule="auto"/>
            </w:pPr>
            <w:r>
              <w:rPr>
                <w:rFonts w:ascii="Times New Roman" w:hAnsi="Times New Roman"/>
                <w:sz w:val="18"/>
              </w:rPr>
              <w:t>Mapa e informe de línea base</w:t>
            </w:r>
          </w:p>
        </w:tc>
      </w:tr>
      <w:tr>
        <w:trPr>
          <w:cantSplit/>
        </w:trPr>
        <w:tc>
          <w:tcPr>
            <w:tcW w:type="dxa" w:w="3120"/>
          </w:tcPr>
          <w:p>
            <w:pPr>
              <w:spacing w:line="240" w:lineRule="auto"/>
            </w:pPr>
            <w:r>
              <w:rPr>
                <w:rFonts w:ascii="Times New Roman" w:hAnsi="Times New Roman"/>
                <w:sz w:val="18"/>
              </w:rPr>
              <w:t>Analizar marco teórico</w:t>
            </w:r>
          </w:p>
        </w:tc>
        <w:tc>
          <w:tcPr>
            <w:tcW w:type="dxa" w:w="3120"/>
          </w:tcPr>
          <w:p>
            <w:pPr>
              <w:spacing w:line="240" w:lineRule="auto"/>
            </w:pPr>
            <w:r>
              <w:rPr>
                <w:rFonts w:ascii="Times New Roman" w:hAnsi="Times New Roman"/>
                <w:sz w:val="18"/>
              </w:rPr>
              <w:t>Revisión de literatura y fuentes climáticas</w:t>
            </w:r>
          </w:p>
        </w:tc>
        <w:tc>
          <w:tcPr>
            <w:tcW w:type="dxa" w:w="3120"/>
          </w:tcPr>
          <w:p>
            <w:pPr>
              <w:spacing w:line="240" w:lineRule="auto"/>
            </w:pPr>
            <w:r>
              <w:rPr>
                <w:rFonts w:ascii="Times New Roman" w:hAnsi="Times New Roman"/>
                <w:sz w:val="18"/>
              </w:rPr>
              <w:t>Matriz de evidencia e incertidumbres</w:t>
            </w:r>
          </w:p>
        </w:tc>
      </w:tr>
      <w:tr>
        <w:trPr>
          <w:cantSplit/>
        </w:trPr>
        <w:tc>
          <w:tcPr>
            <w:tcW w:type="dxa" w:w="3120"/>
          </w:tcPr>
          <w:p>
            <w:pPr>
              <w:spacing w:line="240" w:lineRule="auto"/>
            </w:pPr>
            <w:r>
              <w:rPr>
                <w:rFonts w:ascii="Times New Roman" w:hAnsi="Times New Roman"/>
                <w:sz w:val="18"/>
              </w:rPr>
              <w:t>Identificar técnicas biológicas</w:t>
            </w:r>
          </w:p>
        </w:tc>
        <w:tc>
          <w:tcPr>
            <w:tcW w:type="dxa" w:w="3120"/>
          </w:tcPr>
          <w:p>
            <w:pPr>
              <w:spacing w:line="240" w:lineRule="auto"/>
            </w:pPr>
            <w:r>
              <w:rPr>
                <w:rFonts w:ascii="Times New Roman" w:hAnsi="Times New Roman"/>
                <w:sz w:val="18"/>
              </w:rPr>
              <w:t>Evaluación ecológica y consulta local</w:t>
            </w:r>
          </w:p>
        </w:tc>
        <w:tc>
          <w:tcPr>
            <w:tcW w:type="dxa" w:w="3120"/>
          </w:tcPr>
          <w:p>
            <w:pPr>
              <w:spacing w:line="240" w:lineRule="auto"/>
            </w:pPr>
            <w:r>
              <w:rPr>
                <w:rFonts w:ascii="Times New Roman" w:hAnsi="Times New Roman"/>
                <w:sz w:val="18"/>
              </w:rPr>
              <w:t>Plan de restauración por sitio</w:t>
            </w:r>
          </w:p>
        </w:tc>
      </w:tr>
      <w:tr>
        <w:trPr>
          <w:cantSplit/>
        </w:trPr>
        <w:tc>
          <w:tcPr>
            <w:tcW w:type="dxa" w:w="3120"/>
          </w:tcPr>
          <w:p>
            <w:pPr>
              <w:spacing w:line="240" w:lineRule="auto"/>
            </w:pPr>
            <w:r>
              <w:rPr>
                <w:rFonts w:ascii="Times New Roman" w:hAnsi="Times New Roman"/>
                <w:sz w:val="18"/>
              </w:rPr>
              <w:t>Diseñar monitoreo</w:t>
            </w:r>
          </w:p>
        </w:tc>
        <w:tc>
          <w:tcPr>
            <w:tcW w:type="dxa" w:w="3120"/>
          </w:tcPr>
          <w:p>
            <w:pPr>
              <w:spacing w:line="240" w:lineRule="auto"/>
            </w:pPr>
            <w:r>
              <w:rPr>
                <w:rFonts w:ascii="Times New Roman" w:hAnsi="Times New Roman"/>
                <w:sz w:val="18"/>
              </w:rPr>
              <w:t>Definir variables, instrumentos y periodicidad</w:t>
            </w:r>
          </w:p>
        </w:tc>
        <w:tc>
          <w:tcPr>
            <w:tcW w:type="dxa" w:w="3120"/>
          </w:tcPr>
          <w:p>
            <w:pPr>
              <w:spacing w:line="240" w:lineRule="auto"/>
            </w:pPr>
            <w:r>
              <w:rPr>
                <w:rFonts w:ascii="Times New Roman" w:hAnsi="Times New Roman"/>
                <w:sz w:val="18"/>
              </w:rPr>
              <w:t>Protocolo y base de datos</w:t>
            </w:r>
          </w:p>
        </w:tc>
      </w:tr>
      <w:tr>
        <w:trPr>
          <w:cantSplit/>
        </w:trPr>
        <w:tc>
          <w:tcPr>
            <w:tcW w:type="dxa" w:w="3120"/>
          </w:tcPr>
          <w:p>
            <w:pPr>
              <w:spacing w:line="240" w:lineRule="auto"/>
            </w:pPr>
            <w:r>
              <w:rPr>
                <w:rFonts w:ascii="Times New Roman" w:hAnsi="Times New Roman"/>
                <w:sz w:val="18"/>
              </w:rPr>
              <w:t>Examinar tratados</w:t>
            </w:r>
          </w:p>
        </w:tc>
        <w:tc>
          <w:tcPr>
            <w:tcW w:type="dxa" w:w="3120"/>
          </w:tcPr>
          <w:p>
            <w:pPr>
              <w:spacing w:line="240" w:lineRule="auto"/>
            </w:pPr>
            <w:r>
              <w:rPr>
                <w:rFonts w:ascii="Times New Roman" w:hAnsi="Times New Roman"/>
                <w:sz w:val="18"/>
              </w:rPr>
              <w:t>Revisión jurídica de instrumentos y leyes</w:t>
            </w:r>
          </w:p>
        </w:tc>
        <w:tc>
          <w:tcPr>
            <w:tcW w:type="dxa" w:w="3120"/>
          </w:tcPr>
          <w:p>
            <w:pPr>
              <w:spacing w:line="240" w:lineRule="auto"/>
            </w:pPr>
            <w:r>
              <w:rPr>
                <w:rFonts w:ascii="Times New Roman" w:hAnsi="Times New Roman"/>
                <w:sz w:val="18"/>
              </w:rPr>
              <w:t>Informe jurídico</w:t>
            </w:r>
          </w:p>
        </w:tc>
      </w:tr>
      <w:tr>
        <w:trPr>
          <w:cantSplit/>
        </w:trPr>
        <w:tc>
          <w:tcPr>
            <w:tcW w:type="dxa" w:w="3120"/>
          </w:tcPr>
          <w:p>
            <w:pPr>
              <w:spacing w:line="240" w:lineRule="auto"/>
            </w:pPr>
            <w:r>
              <w:rPr>
                <w:rFonts w:ascii="Times New Roman" w:hAnsi="Times New Roman"/>
                <w:sz w:val="18"/>
              </w:rPr>
              <w:t>Evaluar factibilidad</w:t>
            </w:r>
          </w:p>
        </w:tc>
        <w:tc>
          <w:tcPr>
            <w:tcW w:type="dxa" w:w="3120"/>
          </w:tcPr>
          <w:p>
            <w:pPr>
              <w:spacing w:line="240" w:lineRule="auto"/>
            </w:pPr>
            <w:r>
              <w:rPr>
                <w:rFonts w:ascii="Times New Roman" w:hAnsi="Times New Roman"/>
                <w:sz w:val="18"/>
              </w:rPr>
              <w:t>Costos, riesgos, capacidades y cronograma</w:t>
            </w:r>
          </w:p>
        </w:tc>
        <w:tc>
          <w:tcPr>
            <w:tcW w:type="dxa" w:w="3120"/>
          </w:tcPr>
          <w:p>
            <w:pPr>
              <w:spacing w:line="240" w:lineRule="auto"/>
            </w:pPr>
            <w:r>
              <w:rPr>
                <w:rFonts w:ascii="Times New Roman" w:hAnsi="Times New Roman"/>
                <w:sz w:val="18"/>
              </w:rPr>
              <w:t>Estudio de factibilidad</w:t>
            </w:r>
          </w:p>
        </w:tc>
      </w:tr>
      <w:tr>
        <w:trPr>
          <w:cantSplit/>
        </w:trPr>
        <w:tc>
          <w:tcPr>
            <w:tcW w:type="dxa" w:w="3120"/>
          </w:tcPr>
          <w:p>
            <w:pPr>
              <w:spacing w:line="240" w:lineRule="auto"/>
            </w:pPr>
            <w:r>
              <w:rPr>
                <w:rFonts w:ascii="Times New Roman" w:hAnsi="Times New Roman"/>
                <w:sz w:val="18"/>
              </w:rPr>
              <w:t>Evaluar hipótesis climática</w:t>
            </w:r>
          </w:p>
        </w:tc>
        <w:tc>
          <w:tcPr>
            <w:tcW w:type="dxa" w:w="3120"/>
          </w:tcPr>
          <w:p>
            <w:pPr>
              <w:spacing w:line="240" w:lineRule="auto"/>
            </w:pPr>
            <w:r>
              <w:rPr>
                <w:rFonts w:ascii="Times New Roman" w:hAnsi="Times New Roman"/>
                <w:sz w:val="18"/>
              </w:rPr>
              <w:t>Modelación y análisis de observaciones</w:t>
            </w:r>
          </w:p>
        </w:tc>
        <w:tc>
          <w:tcPr>
            <w:tcW w:type="dxa" w:w="3120"/>
          </w:tcPr>
          <w:p>
            <w:pPr>
              <w:spacing w:line="240" w:lineRule="auto"/>
            </w:pPr>
            <w:r>
              <w:rPr>
                <w:rFonts w:ascii="Times New Roman" w:hAnsi="Times New Roman"/>
                <w:sz w:val="18"/>
              </w:rPr>
              <w:t>Informe con incertidumbre y conclusiones</w:t>
            </w:r>
          </w:p>
        </w:tc>
      </w:tr>
    </w:tbl>
    <w:p>
      <w:pPr>
        <w:pStyle w:val="Heading1"/>
      </w:pPr>
      <w:r>
        <w:t>Anexo B. Nota para adaptación institucional</w:t>
      </w:r>
    </w:p>
    <w:p>
      <w:r>
        <w:rPr>
          <w:b w:val="0"/>
          <w:i w:val="0"/>
        </w:rPr>
        <w:t>Antes de entregar este proyecto, complete los datos de portada, incorpore el manual de trabajos de grado de la institución y verifique los requisitos particulares para proyectos factibles. El formato aplicado toma como referencia APA 7: márgenes de una pulgada, Times New Roman 12, doble espacio, numeración de páginas, títulos jerarquizados y referencias con sangría francesa. Algunas instituciones latinoamericanas solicitan variantes propias; esas normas deben prevalecer cuando sean obligatorias.</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 PAGE </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Times New Roman" w:hAnsi="Times New Roman"/>
      <w:b/>
      <w:bCs/>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i/>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Recuperación del ciclo del agua en Venezuela: proyecto factible</dc:title>
  <dc:subject>Proyecto factible bajo normas APA 7</dc:subject>
  <dc:creator>Documento académico elaborado con base en el material aportado por el usuario</dc:creator>
  <cp:keywords/>
  <dc:description>generated by python-docx</dc:description>
  <cp:lastModifiedBy/>
  <cp:revision>1</cp:revision>
  <dcterms:created xsi:type="dcterms:W3CDTF">2013-12-23T23:15:00Z</dcterms:created>
  <dcterms:modified xsi:type="dcterms:W3CDTF">2013-12-23T23:15:00Z</dcterms:modified>
  <cp:category/>
</cp:coreProperties>
</file>