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br/>
        <w:t>Achievement Highlights:</w:t>
      </w:r>
    </w:p>
    <w:p>
      <w:pPr>
        <w:jc w:val="left"/>
      </w:pPr>
      <w:r>
        <w:rPr>
          <w:sz w:val="22"/>
        </w:rPr>
        <w:t>- Coordinated curriculum development for primary education, improving student engagement by 20%.</w:t>
      </w:r>
    </w:p>
    <w:p>
      <w:pPr>
        <w:jc w:val="left"/>
      </w:pPr>
      <w:r>
        <w:rPr>
          <w:sz w:val="22"/>
        </w:rPr>
        <w:t>- Organized inclusive learning activities that increased participation among diverse student groups.</w:t>
      </w:r>
    </w:p>
    <w:p>
      <w:pPr>
        <w:jc w:val="left"/>
      </w:pPr>
      <w:r>
        <w:rPr>
          <w:sz w:val="22"/>
        </w:rPr>
        <w:t>- Led professional development workshops for colleagues, enhancing teaching quality across departments.</w:t>
      </w:r>
    </w:p>
    <w:p>
      <w:pPr>
        <w:jc w:val="left"/>
      </w:pPr>
      <w:r>
        <w:rPr>
          <w:sz w:val="22"/>
        </w:rPr>
        <w:t>- Implemented digital tools in the classroom, resulting in a 30% improvement in student performance tracking.</w:t>
      </w:r>
    </w:p>
    <w:p>
      <w:pPr>
        <w:jc w:val="left"/>
      </w:pPr>
      <w:r>
        <w:rPr>
          <w:sz w:val="22"/>
        </w:rPr>
        <w:t>- Received recognition for excellence in teaching and community involvement from school administration.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