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Quarterly plan</w:t>
      </w:r>
    </w:p>
    <w:p>
      <w:pPr>
        <w:pStyle w:val="Heading1"/>
      </w:pPr>
      <w:r>
        <w:t xml:space="preserve">Goals</w:t>
      </w:r>
    </w:p>
    <w:p>
      <w:r>
        <w:t xml:space="preserve">We ship </w:t>
      </w:r>
      <w:r>
        <w:rPr>
          <w:b/>
        </w:rPr>
        <w:t>three</w:t>
      </w:r>
      <w:r>
        <w:t xml:space="preserve"> things, </w:t>
      </w:r>
      <w:r>
        <w:rPr>
          <w:i/>
        </w:rPr>
        <w:t>carefully</w:t>
      </w:r>
      <w:r>
        <w:t xml:space="preserve">. See </w:t>
      </w:r>
      <w:hyperlink r:id="rIdLink">
        <w:r>
          <w:t>the site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r>
        <w:t>Import</w:t>
      </w:r>
    </w:p>
    <w:p>
      <w:pPr>
        <w:pStyle w:val="ListParagraph"/>
        <w:numPr>
          <w:ilvl w:val="0"/>
          <w:numId w:val="1"/>
        </w:numPr>
      </w:pPr>
      <w:r>
        <w:t>Export</w:t>
      </w:r>
    </w:p>
    <w:p>
      <w:pPr>
        <w:pStyle w:val="Heading2"/>
      </w:pPr>
      <w:r>
        <w:t xml:space="preserve">Details</w:t>
      </w:r>
    </w:p>
    <w:p>
      <w:pPr>
        <w:pStyle w:val="ListParagraph"/>
        <w:numPr>
          <w:ilvl w:val="0"/>
          <w:numId w:val="2"/>
        </w:numPr>
      </w:pPr>
      <w:r>
        <w:t>First</w:t>
      </w:r>
    </w:p>
    <w:p>
      <w:pPr>
        <w:pStyle w:val="ListParagraph"/>
        <w:numPr>
          <w:ilvl w:val="0"/>
          <w:numId w:val="2"/>
        </w:numPr>
      </w:pPr>
      <w:r>
        <w:t>Second</w:t>
      </w:r>
    </w:p>
    <w:tbl>
      <w:tr>
        <w:tc>
          <w:p>
            <w:r>
              <w:t>Name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Ana</w:t>
            </w:r>
          </w:p>
        </w:tc>
        <w:tc>
          <w:p>
            <w:r>
              <w:t>Owner</w:t>
            </w:r>
          </w:p>
        </w:tc>
      </w:tr>
    </w:tbl>
    <w:p>
      <w:r>
        <w:drawing>
          <wp:inline>
            <wp:extent cx="952500" cy="952500"/>
            <wp:docPr id="1" name="Picture 1" descr="Red square"/>
            <a:graphic>
              <a:graphicData uri="http://schemas.openxmlformats.org/drawingml/2006/picture">
                <pic:pic>
                  <pic:nvPicPr>
                    <pic:cNvPr id="1" name="red.png" descr="Red square"/>
                    <pic:cNvPicPr/>
                  </pic:nvPicPr>
                  <pic:blipFill>
                    <a:blip r:embed="rIdImg"/>
                  </pic:blipFill>
                  <pic:spPr/>
                </pic:pic>
              </a:graphicData>
            </a:graphic>
          </wp:inline>
        </w:drawing>
      </w:r>
    </w:p>
    <w:p>
      <w:pPr>
        <w:pStyle w:val="Heading1"/>
      </w:pPr>
      <w:r>
        <w:t xml:space="preserve">Risks</w:t>
      </w:r>
    </w:p>
    <w:p>
      <w:r>
        <w:t xml:space="preserve">None known.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start w:val="1"/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g" Type="http://schemas.openxmlformats.org/officeDocument/2006/relationships/image" Target="media/red.png"/><Relationship Id="rIdLink" Type="http://schemas.openxmlformats.org/officeDocument/2006/relationships/hyperlink" Target="https://nubisco.io/" TargetMode="External"/></Relationships>
</file>