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(2026 국감) APR1400 8기 총사업비 27.9조→42.4조원(+14.5조·52%), 공기 6~12년 지연 — 사용후핵연료 관리부담금 다발당 3.2억→6.16억원, 출력감발 상반기 40회(보고)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19(월)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’26.10.19 국회 기후에너지환경노동위원회 국정감사에서 박지혜 의원(민주당)이 한국수력원자력 제출자료를 근거로 APR1400 8기의 총사업비 증액과 준공 지연을 지적함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해당 수치는 국회 자료로 공개된 공식 수치이므로, 경쟁 벤더와 발주처 자문사가 해외 입찰에서 그대로 인용할 수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당사가 체코·폴란드·중동 제안에서 한국형 원전의 최대 강점으로 제시해 온 '정시·정예산' 실적에 직접 영향을 주는 사안임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총사업비 증액 및 공기 지연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APR1400 8기 총사업비 : 27조 9,000억원 → 42조 4,000억원 (14조 5,000억원 · 52% 증가)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새울 3·4호기 : 7조 6,000억원 → 11조 7,000억원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신한울 3·4호기 : 8조 3,000억원 → 12조 3,000억원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준공 일정 : 당초 계획 대비 6~12년 지연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함께 제기된 비용 쟁점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사용후핵연료 관리부담금 : 13년 동결 후 ’26.1월 경수로 다발당 3억 2,000만원 → 6억 1,600만원(2억 9,600만원 · 92.5% 인상), 한수원 연 부담 약 1조 1,000억원(kWh당 약 2~3원)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고준위 방폐물 처분시설 등 평가 결과에 따라 추가 비용 발생 가능(한수원 사장 답변)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출력감발 : ’26년 상반기 40회, 최저운전출력 정격 80% → 70% 하향, ’32년 50% 목표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온배수 영향 : ’24.8월 한빛 배수구 인근 39.9℃, 32℃ 이상 구역 최대 8.4km(’24년 조사 인용)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발주처·사업자 측 입장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김회천 한수원 사장 : 향후 건설비 산정에 현실적인 비용과 일정을 반영해야 한다는 데 동의, 출력감발·발전원가 전망 자료 제출 요구는 검토 답변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전기신문(’26.10.19) / 관련 온배수 보상 수치는 에너지데일리(’26.10.19) 별건 보도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총액 비교로 대응하면 불리함 — 증액 요인을 사업 외 요인(금융비용·제도변경·물가·부담금 인상)과 공정 요인으로 분해해 제시하는 설명자료가 필요함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수출 호기 계약구조에서 동일 요인이 차단되는 장치(물가조정·제도변경 리스크 배분 조항 등)를 발주처 언어로 정리해 둘 필요가 있음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사용후핵연료 관리부담금 92.5% 인상과 출력감발 확대는 발전원가 전망의 상방 요인 — 해외 제안서의 LCOE 근거자료 갱신이 선행 과제임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증액 요인 분해자료와 수출 계약조항 대조표를 작성해 진행 중인 해외 제안·입찰 건에 공통 적용하고, 공론화 과정에서 추가 공개되는 비용 자료를 지속 반영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