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주한체코대사, 두코바니 사업 관련 체코 산업 참여율 ‘최대 60%’ 목표 및 테멜린 신중론 언급(보고)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10. 9(금)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이반 얀차렉(Ivan Jančárek) 주한체코대사가 전기신문 인터뷰에서 두코바니 사업에 대한 발주국 측 입장을 공개 — 체코 산업 참여율 목표와 테멜린 확장 관련 입장이 포함됨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현지화율 목표는 당사 기자재·용역 패키지 배분 협상의 기준선이 되고, 테멜린 2기 옵션에 대한 발주국 태도는 당사 생산능력·인력 계획의 전제이므로 보고함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 선정 사유 — 가격·기술이 아니라 공기·예산 준수에 대한 신뢰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근거로 제시한 요소 : 착공·완공 일정을 분명히 제시한 점, 미이행 시 계약상 위약을 수용한 점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실적 근거 : 한국 국내 원전 운영실적, UAE 바라카 사업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사업 위상 : 체코 현대사에서 가장 중요한 기반시설 사업 중 하나이며 장기 에너지안보 투자로 규정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현지화 목표 — 체코 산업 참여율 최대 60%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목표 : 체코 정부는 사업 전체에서 체코 산업 참여율을 최대 60%까지 끌어올리는 것을 목표로 함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고용 : 현지화로 수천 개 일자리 기대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단서 : 참여율 상승이 한국 기업 역할 축소를 뜻하지는 않는다고 언급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 중소기업 유망 분야 — 한·체코 공동 공급망 구축 강조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기자재 : 기계·금속가공, 전기기기, 계측제어(I&amp;C), 케이블, 펌프·밸브·배관, 터빈 관련 기기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용역 : 품질보증·검사 서비스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운영단계 협력 : 원전 수명 60년 이상을 전제로 기자재 공급, 정비, 연료관리, 기술인력 양성, 안전관리, 연구개발을 장기 협력 분야로 제시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진행 중 활동 : 비즈니스 포럼, 파트너링 행사, 공급망 워크숍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테멜린 확장 — 신중론 유지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입장 : “체코 정부가 자국 정책과 절차에 따라 결정할 사안”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전제 : 두코바니의 성공적 이행이 향후 광범위한 원자력 협력의 토대가 된다고 언급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SMR 및 기타 협력 분야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SMR : 체코는 SMR 도입을 검토 중이며 규제·인프라 체계를 준비하는 단계. 한·체코 공동 연구개발, 인력 교류, 제3국 시장 공동진출 가능성 언급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기타 유망 분야 : 배터리, 전기차, 반도체, 항공우주, 수소, 사이버보안, AI, 방산, 인프라, 연구개발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배경 : 내륙국으로 재생에너지 여건이 제한적이고 AI·데이터센터로 전력수요가 증가해 원자력을 에너지정책의 중심축으로 삼고 있다고 설명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전기신문(‘26.10.9, 제4589호 4면) / 사업 경과는 ’24.7월 KHNP 우선협상대상자 선정, ’25.6월 EPC 본계약 체결. 참여율 60%는 체코 정부 ‘목표’이며 계약상 확정 의무율이 아님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발주국이 현지화율 목표를 ‘최대 60%’로 공식 언급한 만큼, 기자재·용역 패키지 배분 협상 시 이 수치가 발주국 측 기준선으로 작동할 것으로 판단함 — 대사가 거명한 6개 기자재 분야와 품질보증·검사 용역은 체코 현지업체와의 경합 범위로 선별 관리 필요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테멜린 2기 옵션에 발주국이 신중론을 유지하고 있어, 옵션 행사를 전제로 한 생산능력·인력 계획은 두코바니 공정 실적이 축적되기 전까지 보수적으로 설정하는 것이 타당함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한국 선정 사유가 ‘공기·예산 준수 신뢰’로 공개 확인된 점은 당사 제안서의 핵심 논거이나, 같은 기간 국내 원자력 전문인력 부족 수치가 보도되어(동일 회차 별건) 공기 준수 역량의 근거 관리가 병행 과제임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체코 산업 참여율 60% 목표의 패키지별 적용 방식 확인 필요 — 총액 기준인지 패키지 수 기준인지에 따라 당사 수행 범위 영향이 달라짐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대사가 거명한 유망 분야별 체코 현지업체 명단과 당사 협력사 중복 여부 확인 필요 — 파트너링 행사·공급망 워크숍 참가 계획과 연계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