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120" w:after="200"/>
      </w:pPr>
      <w:r>
        <w:rPr>
          <w:b/>
          <w:u w:val="single"/>
          <w:sz w:val="40"/>
          <w:szCs w:val="40"/>
        </w:rPr>
        <w:t xml:space="preserve">원안위, 고리 3·4호기·한빛 1·2호기 사고관리계획서 승인(찬성 7·반대 2) — 고리 3·4호기 계속운전 허가는 29일 회의로 연기(보고)</w:t>
      </w:r>
    </w:p>
    <w:p>
      <w:pPr>
        <w:jc w:val="right"/>
        <w:spacing w:after="40"/>
      </w:pPr>
      <w:r>
        <w:rPr>
          <w:sz w:val="26"/>
          <w:szCs w:val="26"/>
        </w:rPr>
        <w:t xml:space="preserve">‘26. 10. 16(금)</w:t>
      </w:r>
    </w:p>
    <w:p>
      <w:pPr>
        <w:jc w:val="right"/>
        <w:spacing w:after="360"/>
      </w:pPr>
      <w:r>
        <w:rPr>
          <w:sz w:val="24"/>
          <w:szCs w:val="24"/>
        </w:rPr>
        <w:t xml:space="preserve">원전영업팀 (원자력 해외영업)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보고 배경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’26.10.15 원자력안전위원회 제2026-16회 전체회의에서 고리 3·4호기·한빛 1·2호기 사고관리계획서 승인(찬성 7·반대 2)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한수원이 ’19.6 28기분 사고관리계획서를 제출한 이후 7년여 만의 처리이며, ’26.9.11·9.30 두 차례 보류 후 3차 상정에서 통과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같은 날 고리 3·4호기 계속운전 허가안이 처음 본회의에 상정됐으나 결론에 이르지 못해, 국내 계속운전 인허가 일정이 해외 LTO 제안의 레퍼런스로 쓸 수 있는지 판단이 필요함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주요 내용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사고관리계획서 승인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대상 : 고리 3·4호기, 한빛 1·2호기 (WH900형) — 신청자 한수원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표결 : 찬성 7 · 반대 2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심사 경과 : 한국원자력안전기술원(KINS) 질의·현장점검, 원자력안전전문위원회가 ’25.11~’26.8 약 9개월간 6차례 사전검토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근거 : 원자력안전법 제21조 제1항 제6호 기준 충족 확인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선례 : APR1400 4기(새울 1·2, 신한울 1·2) ’25.1 승인, 고리 2호기 ’25.10 승인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운영변경허가 동시 승인 — 다중방벽 사고대처전략(MACST) 이행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외부 주입 유로 신설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전원공급 기기 신설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공기공급 유로 신설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수위 계측기 교체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고리 3·4호기 계속운전 허가안 — 결론 연기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10년 연장 운전 허가안으로 ’26.10.15 본회의 최초 상정·심의 착수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위원 추가자료 요구 : 방사선환경영향평가서 공청회 관련 자료, 주요 기기 수명평가 자료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’26.10.29 회의에서 논의 재개 예정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호기 현황 및 재가동 전망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설계수명 만료 : 고리 3호기 ’24.9, 고리 4호기 ’25.8 — 현재 정지 상태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허가 시 운전 가능 시한 : 고리 3호기 ’34.9, 고리 4호기 ’35.8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한수원 전망 : 허가 취득 후 약 3개월 내 상업운전 재개(설비 교체 완료 및 원안위 현장 이행점검 통과 전제)</w:t>
      </w:r>
    </w:p>
    <w:p>
      <w:pPr>
        <w:ind w:left="810" w:hanging="330"/>
        <w:spacing w:after="320"/>
      </w:pPr>
      <w:r>
        <w:rPr>
          <w:sz w:val="22"/>
          <w:szCs w:val="22"/>
        </w:rPr>
        <w:t xml:space="preserve">※</w:t>
      </w:r>
      <w:r>
        <w:rPr>
          <w:sz w:val="22"/>
          <w:szCs w:val="22"/>
        </w:rPr>
        <w:tab/>
        <w:t xml:space="preserve">출처 : 투데이에너지(’26.10.16), 에너지데일리(’26.10.15), 정책브리핑 원자력안전위원회(’26.10.15) / 한빛 1·2호기의 계속운전 상정 일정은 확인되지 않음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시사점(당사 해외사업 관점)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계속운전 인허가 처리 속도는 해외 입찰에서 국내 규제체계의 예측 가능성을 보여주는 지표로 인용됨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사고관리계획서는 7년여 만에 처리된 반면 계속운전 허가는 재차 연기돼, ‘인허가 예측 가능성’을 강점으로 제시하기에는 근거가 부족함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해외 LTO·개보수 사업 제안 시 규제 일정 리스크를 당사가 선제적으로 설명하는 편이 안전함</w:t>
      </w:r>
    </w:p>
    <w:p>
      <w:pPr>
        <w:ind w:left="900" w:hanging="420"/>
        <w:spacing w:after="32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’26.10.29 원안위 회의 결과 확인 후 해외 제안서의 국내 계속운전 레퍼런스 문구 확정 필요</w:t>
      </w:r>
    </w:p>
    <w:p>
      <w:pPr>
        <w:ind w:left="900" w:hanging="420"/>
        <w:spacing w:after="48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고리 3·4호기 재가동 시점이 확정되면 가동률·공기 실적을 해외 입찰 레퍼런스 자료로 갱신</w:t>
      </w:r>
    </w:p>
    <w:p>
      <w:pPr>
        <w:jc w:val="right"/>
        <w:spacing w:after="0"/>
      </w:pPr>
      <w:r>
        <w:t xml:space="preserve">- 以 上 -</w:t>
      </w:r>
    </w:p>
    <w:sectPr>
      <w:pgSz w:w="11906" w:h="16838"/>
      <w:pgMar w:top="1418" w:right="1134" w:bottom="1418" w:left="1134" w:header="851" w:footer="851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바탕체" w:eastAsia="바탕체" w:hAnsi="바탕체"/>
        <w:color w:val="000000"/>
        <w:sz w:val="28"/>
        <w:szCs w:val="28"/>
      </w:rPr>
    </w:rPrDefault>
    <w:pPrDefault>
      <w:pPr>
        <w:spacing w:after="320" w:line="240" w:lineRule="auto"/>
        <w:jc w:val="lef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