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대미투자 원전, 미국 내 APR1400 최대 2기 합의 및 IP 합의 개정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22(화)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정부, ‘26. 9. 22(화) 국회 산업통상자원중소벤처기업위원회 비공개 전체회의에서 대미투자 협상 경과를 보고함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당초 9. 17 예정이던 보고가 규모·조건 협의로 연기된 뒤 열린 것으로, 대미투자 패키지 중 원전 부문의 구체안이 처음 공개됨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 신규 원전 8기를 단계적으로 건설하는 방안 협의 중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건설 순서 : 2기 → 4기 → 2기 (선행 사업 성과 확인 후 다음 단계 진행 구조)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 구성 : APR1400 2기, 웨스팅하우스 AP1000 6기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건설비용 : 2기당 최대 300억 달러 수준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한미, 미국 내 APR1400 건설 허용 및 지식재산권(IP) 합의 개정에 합의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허용 범위 : 전략투자를 활용하는 원전 사업에 한해 최대 2기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그간 한국형 원전 수출의 제약으로 작용해 온 IP 제한을 완화하는 방향으로 합의 개정 예정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웨스팅하우스(WEC) 지분 투자는 5~10% 범위에서 협의 지속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투자금 회수 구조도 함께 보고됨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사업 중단 시 기투자금 100% 선회수, 원리금 회수 전까지 양국 수익 5:5 배분, 회수 완료 후 미국 측 몫 증가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대미투자 1호 사업은 텍사스주 엔시날 가스복합화력(6.3GW, 223억 달러)으로 확정, 원전 부문은 미확정 상태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파이낸셜뉴스(‘26. 9. 22), ANS Nuclear Newswire(‘26. 9. 22) / 협상 진행 중 사안으로 확정 시 수치·조건 변동 가능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IP 합의 개정은 지난 10년간 한국형 원전 수출을 묶어 온 가장 큰 구조적 제약을 건드리는 사안임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 내 2기라는 수량보다, 개정된 조건이 제3국 수출에 어떻게 적용되는지가 당사 영업에 훨씬 크게 작용함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개정 IP 문안의 적용 범위(대상 노형·대상 국가·유효기간) 확인을 최우선 과제로 추진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APR1400 미국 실적 확보 시 중동·동유럽 입찰에서의 레퍼런스 활용 방안을 사전 정리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원전 부문 확정 시점 및 발주 구조(EPC 일괄/패키지 분할) 추적 — 당사 참여 범위 판단의 전제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