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120" w:after="200"/>
      </w:pPr>
      <w:r>
        <w:rPr>
          <w:b/>
          <w:u w:val="single"/>
          <w:sz w:val="40"/>
          <w:szCs w:val="40"/>
        </w:rPr>
        <w:t xml:space="preserve">미 USTDA–튀르키예 TÜNAŞ, SMR 도입 가속 기술지원 약정 — 미국 노형 9종 1년 평가(보고)</w:t>
      </w:r>
    </w:p>
    <w:p>
      <w:pPr>
        <w:jc w:val="right"/>
        <w:spacing w:after="40"/>
      </w:pPr>
      <w:r>
        <w:rPr>
          <w:sz w:val="26"/>
          <w:szCs w:val="26"/>
        </w:rPr>
        <w:t xml:space="preserve">‘26. 9. 24(목)</w:t>
      </w:r>
    </w:p>
    <w:p>
      <w:pPr>
        <w:jc w:val="right"/>
        <w:spacing w:after="360"/>
      </w:pPr>
      <w:r>
        <w:rPr>
          <w:sz w:val="24"/>
          <w:szCs w:val="24"/>
        </w:rPr>
        <w:t xml:space="preserve">원전영업팀 (원자력 해외영업)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보고 배경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 무역개발처(USTDA)와 튀르키예 국영 원전개발사 TÜNAŞ, SMR 도입 가속을 위한 기술지원 약정 체결('26.9.24 보도)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서명자 : USTDA 토머스 하디 부처장, TÜNAŞ 네자티 야마치 사장 / 알파르슬란 바이라크타르 에너지장관 입회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튀르키예는 아쿠유(러시아 VVER-1200 4기) 외 노형이 미확정 상태로, 당사 관점에서 경쟁이 열려 있는 시장에 해당함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주요 내용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약정 규모 및 성격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약 200만 달러 규모 기술지원, 기술 용역 비용은 USTDA가 부담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목적은 튀르키예 민간의 SMR 도입을 위한 규제·제도·금융 체계 마련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평가 대상 및 일정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미국 SMR 4개사 및 미국 4세대 노형 5종을 대상으로 1년간 평가 수행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평가 항목은 기술·경제·규제·인허가 4개 측면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결과물은 기술보고서 및 규제체계 개선 권고안으로, 튀르키예 에너지부·원자력규제청에 제출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튀르키예 원전 도입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2050년까지 SMR 5,000MWe 및 대형원전 12기 확보 목표</w:t>
      </w:r>
    </w:p>
    <w:p>
      <w:pPr>
        <w:ind w:left="760" w:hanging="280"/>
        <w:spacing w:after="320"/>
      </w:pPr>
      <w:r>
        <w:rPr>
          <w:sz w:val="28"/>
          <w:szCs w:val="28"/>
        </w:rPr>
        <w:t xml:space="preserve">·</w:t>
      </w:r>
      <w:r>
        <w:rPr>
          <w:sz w:val="28"/>
          <w:szCs w:val="28"/>
        </w:rPr>
        <w:tab/>
        <w:t xml:space="preserve">TÜNAŞ는 '22년 설립된 국영 원전개발사</w:t>
      </w:r>
    </w:p>
    <w:p>
      <w:pPr>
        <w:ind w:left="810" w:hanging="330"/>
        <w:spacing w:after="320"/>
      </w:pPr>
      <w:r>
        <w:rPr>
          <w:sz w:val="22"/>
          <w:szCs w:val="22"/>
        </w:rPr>
        <w:t xml:space="preserve">※</w:t>
      </w:r>
      <w:r>
        <w:rPr>
          <w:sz w:val="22"/>
          <w:szCs w:val="22"/>
        </w:rPr>
        <w:tab/>
        <w:t xml:space="preserve">출처 : World Nuclear News(2026. 9. 24)</w:t>
      </w:r>
    </w:p>
    <w:p>
      <w:pPr>
        <w:ind w:left="580" w:hanging="420"/>
        <w:spacing w:after="320"/>
      </w:pPr>
      <w:r>
        <w:rPr>
          <w:b/>
          <w:sz w:val="28"/>
          <w:szCs w:val="28"/>
        </w:rPr>
        <w:t xml:space="preserve">□</w:t>
      </w:r>
      <w:r>
        <w:rPr>
          <w:b/>
          <w:sz w:val="28"/>
          <w:szCs w:val="28"/>
        </w:rPr>
        <w:tab/>
        <w:t xml:space="preserve">시사점(당사 해외사업 관점)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대형 12기 계획이 유효한 반면 노형은 아쿠유(러시아)에 한정돼 있어, 대형·SMR 모두 진입 여지가 남아 있는 시장으로 판단됨</w:t>
      </w:r>
    </w:p>
    <w:p>
      <w:pPr>
        <w:ind w:left="600" w:hanging="280"/>
        <w:spacing w:after="320"/>
      </w:pP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ab/>
        <w:t xml:space="preserve">미국이 규제·인허가 체계 설계 단계부터 자금을 투입하는 구도로, 자국 노형에 유리한 기준이 선점될 소지가 있음</w:t>
      </w:r>
    </w:p>
    <w:p>
      <w:pPr>
        <w:ind w:left="900" w:hanging="420"/>
        <w:spacing w:after="32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발주 공고를 기다리기보다 규제기관 접점 및 현지 파트너를 조기 확보할 필요</w:t>
      </w:r>
    </w:p>
    <w:p>
      <w:pPr>
        <w:ind w:left="900" w:hanging="420"/>
        <w:spacing w:after="480"/>
      </w:pPr>
      <w:r>
        <w:rPr>
          <w:sz w:val="28"/>
          <w:szCs w:val="28"/>
        </w:rPr>
        <w:t xml:space="preserve">⇒</w:t>
      </w:r>
      <w:r>
        <w:rPr>
          <w:sz w:val="28"/>
          <w:szCs w:val="28"/>
        </w:rPr>
        <w:tab/>
        <w:t xml:space="preserve">1년 뒤 제출될 권고안의 인허가 기준이 당사 노형·기자재 요건과 충돌하는지 사전 점검 필요</w:t>
      </w:r>
    </w:p>
    <w:p>
      <w:pPr>
        <w:jc w:val="right"/>
        <w:spacing w:after="0"/>
      </w:pPr>
      <w:r>
        <w:t xml:space="preserve">- 以 上 -</w:t>
      </w:r>
    </w:p>
    <w:sectPr>
      <w:pgSz w:w="11906" w:h="16838"/>
      <w:pgMar w:top="1418" w:right="1134" w:bottom="1418" w:left="1134" w:header="851" w:footer="851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바탕체" w:eastAsia="바탕체" w:hAnsi="바탕체"/>
        <w:color w:val="000000"/>
        <w:sz w:val="28"/>
        <w:szCs w:val="28"/>
      </w:rPr>
    </w:rPrDefault>
    <w:pPrDefault>
      <w:pPr>
        <w:spacing w:after="320" w:line="240" w:lineRule="auto"/>
        <w:jc w:val="lef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