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韓電 사장, 국정감사에서 「APR1400 1기당 20억달러는 상한 가이드라인」 답변(보고)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12(월)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김동철 한국전력 사장이 ’26.10.12 국회 산업통상자원중소벤처기업위원회 국정감사에서 웨스팅하우스(WEC) 지분 인수와 대미 원전사업 비용구조에 대해 답변함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 수출 1기당 WEC에 귀속되는 금액의 상한선이 공개 석상에서 확인된 건으로, 당사가 제3국 입찰에서 APR1400 가격을 구성할 때의 전제가 바뀌므로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비용구조 — APR1400 1기당 20억달러는 「상한 가이드라인」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질의 : 박성민 의원(국민의힘), 미국 내 건설 APR1400 1기당 20억달러(약 2조 7,000억원) 지급 틀의 타당성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답변 : 「상한 가이드라인」이며 전액을 지급한다는 의미는 아니라고 답변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금액 성격 : 기술 라이선스료 및 핵연료 공급 대가로 설명됨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교차확인 : WEC 주주 카메코(Cameco)는 ’26.9.30 발표에서 APR1400 1기당 약 20억달러의 가치가 지식재산 라이선스·설계·조달 용역·하도 기회·장기 연료가공 용역을 통해 WEC에 귀속된다고 기술 — 한전 측의 「지급 상한」 설명과 관점이 상이함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지분 인수 — 투자 여부·규모는 기업실사 후 결정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답변 : 지분 인수는 추진 중이나 투자 여부와 규모는 기업실사(企業實査) 완료 후 「합리적 범위」에서 결정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의원 측 추정 : WEC 기업가치 급등을 근거로 약 4조원 소요 추정 제시, 한전은 실사 후 결정 입장 유지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효과 : 지분 확보가 미국 및 제3국 원전시장 진입에 도움이 된다는 점에는 동의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검토안(보도 기준) : 국내 기업들이 WEC 의결권 보통주 5~10%를 IPO 가격 대비 10% 할인 인수하는 방안 검토 중, 금액·참여기업은 후속 협의 대상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상위 프레임워크 — 한·미 대미 원전 8기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구성 : 1,200억달러 전략투자 재원으로 미국 내 AP1000 6기 + APR1400 2기 건설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미확정 사항 : 투자 금액, 참여 기업, 부지·사업구조는 후속 협의 대상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전기신문(‘26.10.12) / 20억달러는 국정감사 답변상 「상한」이며 확정 지급액이 아님. 지분 인수 금액·지분율, 참여 기업은 모두 미확정이므로 대외 인용 시 「상한·미확정」 구분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 1기당 라이선스·연료 비용에 공개된 상한(20억달러)이 생겨, 제3국 입찰 원가 제시 시 상한 초과 요구를 방어하는 논거로 활용 가능함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지분 인수 규모가 실사 이후로 미뤄져 미국 사업의 지배구조와 역무 배분은 여전히 변수이므로, 당사 수행범위를 전제로 한 제안서 작성은 후속 협의 결과 확인 후 진행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 벤더가 한국 노형의 라이선스 비용을 가격 공세 소재로 활용할 수 있으므로, 「상한선·실제 지급액·미확정」을 구분한 대응 논리를 사전 정리할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WEC 기업실사 결과 및 지분 인수 결정(여부·지분율·금액) 확인 필요 — 확정 시 당사 미국·제3국 사업의 역무 배분 전제 재검토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APR1400 1기당 20억달러의 실제 산정 내역(라이선스료 대 연료 공급 비중) 확인 필요 — 제3국 입찰 원가 구성의 직접 변수임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대미 8기 중 APR1400 2기의 부지·사업구조·EPC 계약 시점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