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카메코, 한미 원전 프레임워크 공식 입장 — APR1400 기술 귀속 및 지분 참여 관련(보고)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웨스팅하우스(WEC) 공동주주인 카메코(Cameco)가 한미 원전 프레임워크에 대한 공식 입장을 발표함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전일 발표된 프레임워크에서 미정으로 남아 있던 지분 참여 및 기술 귀속 사항이 언급되어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프레임워크 구성 재확인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투자 규모 : 한국 측 1,200억 달러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호기 : 총 8기(웨스팅하우스 AP1000 6기 + 한국 APR1400 최대 2기)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미국 내 배치는 연방 부지에서 AP1000 2기로 착수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APR1400 기술 귀속 표현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APR1400 2기를 "웨스팅하우스 기술에 기반해 건설되는(built on Westinghouse technology)" 노형으로 명시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웨스팅하우스 수취 가치 : APR1400 1기당 약 20억 달러(지식재산권 라이선싱·엔지니어링 용역·하도급·연료 공급)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 측 지분 참여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승인 절차가 남아 있음을 전제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"어떤 지분 참여도 웨스팅하우스에 대한 카메코의 보유 지분에 영향을 줄 것으로 보지 않는다"고 발표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카메코 보도자료(웨스팅하우스 뉴스룸 게시, 2026. 10. 1) / 지분 참여 구조는 미확정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 측 지분 인수가 기존 주주 지분을 희석하지 않는 방식으로 설계될 가능성이 높아진 것으로 판단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의사결정권보다 배당·수익 공유 성격에 가까워질 수 있어 역무 확보와는 별개 사안으로 관리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APR1400을 "웨스팅하우스 기술 기반"으로 규정한 문구는 제3국 입찰에서 경쟁 벤더가 인용할 수 있는 표현으로 판단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당사 레퍼런스 홍보 문구와 계약서상 기술 귀속 표현의 정합성 사전 점검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타협협정(SA) 개정 문안에서 APR1400 기술 귀속·사용 범위가 어떻게 기재되는지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호기당 역무 분담(설계·시공·기자재·연료) 확정 시점 및 당사 참여 가능 구간 추적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