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웨스팅하우스, 네덜란드 신규 원전 FEED 1 설계에 현대건설 계약 — 부지 기술검토·마스터플랜·사업수행전략 담당(보고)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‘26. 10. 8(목)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웨스팅하우스가 네덜란드 신규 원전 FEED 1 설계용역 일부 수행사로 현대건설과 계약 — 유럽 신규 원전의 FEED 단계에 국내 EPC가 노형 벤더 하도 구조로 진입한 건임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네덜란드는 KHNP가 중도 철수해 팀코리아 단독 경로가 닫힌 시장이므로, 설계·엔지니어링 역무의 진입 경로 선례로서 보고함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계약 구조 — 발주처 NEO NL → 원청 웨스팅하우스 → 현대건설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발주처 : NEO NL(Nuclear Energy Organisation of the Netherlands). '26.2월 설립된 국영회사로 2기 준비·건설·운영 담당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선행 발주 : '26.8월 NEO NL이 EDF와 웨스팅하우스에 각각 설계용역을 발주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계약금액 : 미공개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현대건설 역무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단독 수행 : 후보부지 기술검토, 마스터플랜, 사업수행전략(project execution strategies)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웨스팅하우스 공동 수행 : 현지 법령·인허가 요건·기술기준·일정 검토, 주요 리스크 대응방안 및 현지화 전략 수립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FEED 1 단계 구성·일정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FEED 1a : 부지와 무관한 범위로, 정부의 부지 선정과 병행 추진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FEED 1b : 내각의 우선부지 결정(draft Preferred Site Decision) 이후 착수, 선정 부지에 집중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기간 : FEED 12~18개월. 부지 선정은 다음 달 예정으로 보도되었으나 확정일은 미제시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사업 개요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노형·규모 : 웨스팅하우스 AP1000 2기. 예비계획 기준 호기당 1,000~1,650MWe, 준공 '35년 전후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전력 비중 : 2기 합산 '35년 국가 전력의 9~13%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부지 : '22.12월 내각이 보르셀레를 최적지로 지명. 그 외 로테르담 인근 트베더 마스블락터, 제일란트 테르뇌전, 흐로닝언 엠스하번 검토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기존 설비 : 보르셀레 482MWe PWR, '73년 계통연결, 국가 전력의 약 3%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경과 : 기후녹색성장부가 타당성조사를 발주하고 '24.11월 아멘텀이 검토사로 선정. 규제기관(ASNR)은 3개 노형 모두 안전요건 충족 가능으로 판단했고 이후 KHNP가 철수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World Nuclear News('26.10.8), 더트래커('26.10.8) / 계약금액·현대건설 역무 금액은 미공개. 현대건설은 "이번 계약은 초기 기본설계에 관한 것으로 최종 원전 건설 수주가 확정된 것은 아니다"라고 밝힘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유럽 신규 원전의 FEED 진입구가 발주처 직접 입찰이 아니라 노형 벤더 설계 컨소시엄의 하위 계약이라는 점이 실증됨 — 당사 설계 역무 진입도 발주처 접촉이 아니라 벤더 컨소시엄 편입을 1차 경로로 설정할 필요가 있음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KHNP 철수로 팀코리아 단독 경로가 닫힌 시장에서도 국내 EPC의 단독 진입이 가능했으므로, 노형 벤더와의 개별 관계가 국가 단위 수주 구도와 분리해 작동함을 전제로 판단해야 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부지 결정이 다음 달로 예고되어 FEED 1b 착수와 함께 후속 패키지(기본설계·BOP·시공) 윤곽이 잡히므로, 역무 분담 구조 확인의 실익이 큰 시점임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웨스팅하우스 설계 컨소시엄 내 역무 분담 구조 확인 필요 — 특히 BOP 설계가 FEED 1 범위에 포함되는지, FEED 2 이후로 분리되는지 (당사 역무 범위 판단의 전제)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네덜란드 내각의 우선부지 결정 시점과 결과 추적 필요 — FEED 1b 착수 시점이 후속 발주 일정의 기준점이 됨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보르셀레 부지의 별도 축인 토리존(100MWe 용융염로, 현대건설과 '26.3월 기술협력 MOU 체결) 사업의 발주 구조도 함께 확인할 것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