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before="120" w:after="200"/>
      </w:pPr>
      <w:r>
        <w:rPr>
          <w:b/>
          <w:u w:val="single"/>
          <w:sz w:val="40"/>
          <w:szCs w:val="40"/>
        </w:rPr>
        <w:t xml:space="preserve">산업통상부 EU 산업가속화법(IAA) 유럽의회 아웃리치 — 원전 포함 동등성 원칙 적용 요청 (보고)</w:t>
      </w:r>
    </w:p>
    <w:p>
      <w:pPr>
        <w:jc w:val="right"/>
        <w:spacing w:after="40"/>
      </w:pPr>
      <w:r>
        <w:rPr>
          <w:sz w:val="26"/>
          <w:szCs w:val="26"/>
        </w:rPr>
        <w:t xml:space="preserve">‘26. 10. 22(목)</w:t>
      </w:r>
    </w:p>
    <w:p>
      <w:pPr>
        <w:jc w:val="right"/>
        <w:spacing w:after="360"/>
      </w:pPr>
      <w:r>
        <w:rPr>
          <w:sz w:val="24"/>
          <w:szCs w:val="24"/>
        </w:rPr>
        <w:t xml:space="preserve">원전영업팀 (원자력 해외영업)</w:t>
      </w:r>
    </w:p>
    <w:p>
      <w:pPr>
        <w:ind w:left="580" w:hanging="420"/>
        <w:spacing w:after="320"/>
      </w:pPr>
      <w:r>
        <w:rPr>
          <w:b/>
          <w:sz w:val="28"/>
          <w:szCs w:val="28"/>
        </w:rPr>
        <w:t xml:space="preserve">□</w:t>
      </w:r>
      <w:r>
        <w:rPr>
          <w:b/>
          <w:sz w:val="28"/>
          <w:szCs w:val="28"/>
        </w:rPr>
        <w:tab/>
        <w:t xml:space="preserve">보고 배경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산업통상부가 김장희 신통상전략지원관을 단장으로 '26.10.20(화)~21(수) 프랑스 스트라스부르에서 EU 산업가속화법(IAA) 관련 유럽의회 주요 의원들과 연쇄 면담을 실시함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'26.9월 유럽의회 차원의 IAA 수정안 발표 이후 연말까지 의회 법안 검토가 집중되는 상황에서, 법안 심의를 주도하는 핵심 인사에게 우리 입장을 직접 전달하기 위한 것임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'26.10.20 제3차 두코바니 이행점검 협의체에서 체코 측에 '우려 전달' 단계였던 사안이 2일 만에 유럽의회 입법 심의 창구로 이동한 것으로 보고함</w:t>
      </w:r>
    </w:p>
    <w:p>
      <w:pPr>
        <w:ind w:left="580" w:hanging="420"/>
        <w:spacing w:after="320"/>
      </w:pPr>
      <w:r>
        <w:rPr>
          <w:b/>
          <w:sz w:val="28"/>
          <w:szCs w:val="28"/>
        </w:rPr>
        <w:t xml:space="preserve">□</w:t>
      </w:r>
      <w:r>
        <w:rPr>
          <w:b/>
          <w:sz w:val="28"/>
          <w:szCs w:val="28"/>
        </w:rPr>
        <w:tab/>
        <w:t xml:space="preserve">주요 내용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면담 대상 (3개 소관 상임위 · 5개 정치그룹, 총 9명)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유럽의회 부의장 : 마르틴 호이시크(슬로바키아, RENEW)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IMCO(내부시장·소비자보호) : 카밀라 가시우크-피호비치(폴란드, EPP, 부위원장), 토미슬라브 소콜(크로아티아, EPP), 클라라 도스탈로바(체코, PfE)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INTA(국제통상) : 카틀린 판 브렘프트(벨기에, S&amp;D, 부위원장), 디르크 호팅크(네덜란드, EPP), 미리암 렉스만(슬로바키아, EPP)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ITRE(산업·에너지) : 보그단 안제이 즈드로예프스키(폴란드, EPP), 온드르제이 크루틸레크(체코, ECR)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우리측 요청 사항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한국을 신뢰할 수 있는 파트너로 인정 — 자동차·원전·철강·배터리 등 주요 산업에서 우리 기업 차별 방지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공공조달·공공지원 등 IAA 적용 전반에 동등성 원칙을 일관되게 적용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논거 : 한국 기업의 장기 대EU 투자와 현지 생산·고용·공급망 기여, 경쟁력 있는 파트너와의 협력이 EU 산업경쟁력 강화라는 IAA 목표에 부합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정부 대응 경과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'26.3월 IAA 법안 발표 이후 정부입장서 총 4차례 제출, 집행위·회원국·유럽의회 대상 고위급 아웃리치 지속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'26.10.15 「EU 산업가속화법 대응 민관합동 TF」 출범 — 업계 공동대응 체계 강화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향후 계획 : 민관합동 TF 중심으로 연쇄 고위급·민관합동 아웃리치 집중 전개</w:t>
      </w:r>
    </w:p>
    <w:p>
      <w:pPr>
        <w:ind w:left="810" w:hanging="330"/>
        <w:spacing w:after="320"/>
      </w:pPr>
      <w:r>
        <w:rPr>
          <w:sz w:val="22"/>
          <w:szCs w:val="22"/>
        </w:rPr>
        <w:t xml:space="preserve">※</w:t>
      </w:r>
      <w:r>
        <w:rPr>
          <w:sz w:val="22"/>
          <w:szCs w:val="22"/>
        </w:rPr>
        <w:tab/>
        <w:t xml:space="preserve">출처 : 정책브리핑 산업통상부 보도자료(2026-10-22 석간, 통상정책국 구주통상과). 본문은 첨부 PDF에서 확인함. 원전 관련 세부 조항(핵심기자재 EU산 의무 비율 등)은 본 보도자료에 기재되지 않음</w:t>
      </w:r>
    </w:p>
    <w:p>
      <w:pPr>
        <w:ind w:left="580" w:hanging="420"/>
        <w:spacing w:after="320"/>
      </w:pPr>
      <w:r>
        <w:rPr>
          <w:b/>
          <w:sz w:val="28"/>
          <w:szCs w:val="28"/>
        </w:rPr>
        <w:t xml:space="preserve">□</w:t>
      </w:r>
      <w:r>
        <w:rPr>
          <w:b/>
          <w:sz w:val="28"/>
          <w:szCs w:val="28"/>
        </w:rPr>
        <w:tab/>
        <w:t xml:space="preserve">시사점(당사 해외사업 관점)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원전이 자동차·철강·배터리와 동일한 요청 항목으로 묶여 상정된 점은 교섭력을 키우는 효과가 있음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다만 원전 핵심기자재 EU산 의무처럼 원전에만 적용되는 세부 조항이 4대 산업 묶음 협상 과정에서 희석될 위험도 함께 존재함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당사 기준으로는 '역무(FEED·기본설계·사업관리)는 기자재 원산지 의무의 직접 대상이 아닐 수 있다'는 가정의 법률적 확정이 선행 과제임</w:t>
      </w:r>
    </w:p>
    <w:p>
      <w:pPr>
        <w:ind w:left="900" w:hanging="420"/>
        <w:spacing w:after="320"/>
      </w:pPr>
      <w:r>
        <w:rPr>
          <w:sz w:val="28"/>
          <w:szCs w:val="28"/>
        </w:rPr>
        <w:t xml:space="preserve">⇒</w:t>
      </w:r>
      <w:r>
        <w:rPr>
          <w:sz w:val="28"/>
          <w:szCs w:val="28"/>
        </w:rPr>
        <w:tab/>
        <w:t xml:space="preserve">유럽의회 심의가 집중되는 연말까지가 업계 의견 반영의 유효 구간 — 민관합동 TF를 통한 의견 제출을 동 구간에 배치 필요</w:t>
      </w:r>
    </w:p>
    <w:p>
      <w:pPr>
        <w:ind w:left="900" w:hanging="420"/>
        <w:spacing w:after="480"/>
      </w:pPr>
      <w:r>
        <w:rPr>
          <w:sz w:val="28"/>
          <w:szCs w:val="28"/>
        </w:rPr>
        <w:t xml:space="preserve">⇒</w:t>
      </w:r>
      <w:r>
        <w:rPr>
          <w:sz w:val="28"/>
          <w:szCs w:val="28"/>
        </w:rPr>
        <w:tab/>
        <w:t xml:space="preserve">산업통상부 통상정책국 구주통상과를 통해 하위법령(후속규정) 단계 의견제출 창구 확인 필요</w:t>
      </w:r>
    </w:p>
    <w:p>
      <w:pPr>
        <w:jc w:val="right"/>
        <w:spacing w:after="0"/>
      </w:pPr>
      <w:r>
        <w:t xml:space="preserve">- 以 上 -</w:t>
      </w:r>
    </w:p>
    <w:sectPr>
      <w:pgSz w:w="11906" w:h="16838"/>
      <w:pgMar w:top="1418" w:right="1134" w:bottom="1418" w:left="1134" w:header="851" w:footer="851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바탕체" w:eastAsia="바탕체" w:hAnsi="바탕체"/>
        <w:color w:val="000000"/>
        <w:sz w:val="28"/>
        <w:szCs w:val="28"/>
      </w:rPr>
    </w:rPrDefault>
    <w:pPrDefault>
      <w:pPr>
        <w:spacing w:after="320" w:line="240" w:lineRule="auto"/>
        <w:jc w:val="left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