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필리핀, 2032년 1.2GW 원전 목표 제시 및 조달 틀 설계 착수 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'26. 10. 20(화)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'26.10.20~21 마닐라에서 열린 세계원자력협회(WNA) 공급망 회의에서 필리핀 정부가 첫 원전 사업의 정책·규제·상업 기반 정비 현황을 발표함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당사는 '25.7 한수원–아보이티즈파워 사전타당성조사 MOU를 통해 민간 발주 축의 한쪽에 이미 참여 중이며, 금번 발표로 경쟁 축인 메랄코 계열의 기술 선정 일정이 공개됨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정부 목표 및 전력 여건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원전 도입 목표 : '32년 1.2GW → '35년 2.4GW → '50년 4.8GW (속도는 SMR 가용성에 연동)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'26.7 기준 최대수요 20.1GW, 설비용량 약 32.5GW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1차에너지의 51.5%를 수입 의존(석탄 85%·경유 95% 수입)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재생에너지 목표 : '30년 발전량의 35% 이상, '40년 50%, '50년 50% 초과 — 원전은 보완재 및 석탄 대체재로 위치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규제·조달 진행 단계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IAEA 마일스톤 방식에 따라 법·규제체계, 비상대응, 폐기물, 인력, 대중수용성을 병행 추진 중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부지평가·조달 틀·상업 조건 설계가 진행 중이며, 노형 선정 및 입찰 공고 단계에는 미도달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민간 발주 주체 동향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메랄코 계열 MGen : 美 USTDA 280만 달러 지원으로 사전트앤런디와 SMR 타당성조사 수행. 후보 기술·부지 1차 보고서 완료, 최종 보고서는 '27년 3분기 예정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아보이티즈파워 : 장기 투자자 관점에서 원전 검토 중(리스크 관리 중심)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정부간 협력 대상국 : 일본·미국·한국·헝가리 (기술교류, 안전·규제 역량, 인력양성)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World Nuclear News ('26.10.20), WNA 공급망 회의 발표 내용. 바탄 원전은 1980년대 완공 후 미운전 상태로 현 단계 논의 대상이 아님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필리핀은 발주 주체가 정부가 아니라 민간 전력사(메랄코·아보이티즈)로 먼저 형성되는 구조이므로, 정부간 협력과 별도로 민간 발주처 대상 영업 경로를 분리 운영할 필요가 있음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대형로 1.2GW 트랙과 SMR 트랙이 병행되어 APR1400과 i-SMR을 동일 창구에서 제안할 수 있는 시장임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조달 틀과 상업 조건이 아직 설계 중인 단계는 규격 형성에 참여할 수 있는 기회이므로, 입찰 공고 이후 대응보다 선행 접근이 유효함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MGen 최종 타당성조사('27년 3분기) 이전 후보 기술 압축 단계에서의 접촉 경로 확보 필요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아보이티즈파워 MOU의 사전타당성조사 범위·일정 진척도 점검 및 후속 단계 전환 시점 확인 필요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