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캐나다 피커링 개보수 30억 캐나다달러 계약 체결 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'26. 9. 23(수)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캐나다 온타리오주가 '26.9.23 OPG 피커링 원전 4개 호기 개보수 계약 체결을 발표함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북미 계속운전·개보수 시장의 발주 단가와 패키지 분할 방식을 확인할 수 있는 기준 사례임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계약 내역 (총 30억 캐나다달러 / 21억 달러)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5호기 재관·급수관·증기발생기 교체(RFBR) : 17억 캐나다달러 — 에이컨(Aecon)·캔두에너지(앳킨스레알리스) 5:5 합작사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터빈발전기 교체 : 13억 캐나다달러 — 에이컨·지멘스에너지 캐나다 컨소시엄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공사 범위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RFBR : 증기발생기·연료채널·급수관 교체 및 설계·사업관리 포함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터빈발전기 : 신규 증기터빈 로터 14기 설치, 발전기 4기 고정자 재권선 등 정밀점검, 보조계통 및 제어·감시설비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일정 및 효과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피커링 B 5~8호기 '26.9월 말 정지 → 개보수 실행 '27.1월 착수(규제 승인 조건)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6·7·8호기는 후속 단계로 동일 공사 예정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개보수 후 최대 2,200MW 공급, 2060년대까지 운전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World Nuclear News('26.9.23)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원자로계통 교체와 터빈발전기 교체를 분리 발주한 구조로, 당사가 추진 중인 개보수·계속운전 분야 입찰 설계 시 참고 기준이 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동일 발주처 OPG가 SMR 신규 건설도 진행 중이므로, 개보수 수주 실적이 신규 패키지 진입의 자격 요건으로 활용될 수 있음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에이컨은 영국 SGE 선단 사업팀에도 참여하고 있어, 북미·유럽 양 권역에서 접점이 겹치는 업체로 관리가 필요함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6·7·8호기 후속 발주 시점 및 CanadaBuys·OPG 조달 공고 여부 감시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RFBR 계약의 하도급 범위(시공·설치 분리 여부) 확인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