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120" w:after="200"/>
      </w:pPr>
      <w:r>
        <w:rPr>
          <w:b/>
          <w:u w:val="single"/>
          <w:sz w:val="40"/>
          <w:szCs w:val="40"/>
        </w:rPr>
        <w:t xml:space="preserve">미 에너지부, 콘스텔레이션 원전 출력증강에 최대 50억 달러 대출 확약 — 기존 호기 증강에 연방 금융 투입(보고)</w:t>
      </w:r>
    </w:p>
    <w:p>
      <w:pPr>
        <w:jc w:val="right"/>
        <w:spacing w:after="40"/>
      </w:pPr>
      <w:r>
        <w:rPr>
          <w:sz w:val="26"/>
          <w:szCs w:val="26"/>
        </w:rPr>
        <w:t xml:space="preserve">‘26. 10. 28(수)</w:t>
      </w:r>
    </w:p>
    <w:p>
      <w:pPr>
        <w:jc w:val="right"/>
        <w:spacing w:after="360"/>
      </w:pPr>
      <w:r>
        <w:rPr>
          <w:sz w:val="24"/>
          <w:szCs w:val="24"/>
        </w:rPr>
        <w:t xml:space="preserve">원전영업팀 (원자력 해외영업)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보고 배경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미 에너지부가 ’26.10.28 콘스텔레이션의 원전 8기 출력증강·현대화에 최대 50억 달러 조건부 대출을 확약함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신규 건설이 아닌 기존 호기 출력증강에 연방 금융이 대규모로 투입된 사례로, 당사 증강·설비개선 역무의 시장 여건 변화와 관련돼 보고함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주요 내용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금융 개요 — 조건부 대출 확약(conditional loan commitment)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지원 기관 : 미 에너지부 에너지주도권금융실(Office of Energy Dominance Financing)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차주 : 콘스텔레이션(Constellation)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규모 : 최대 50억 달러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용도 : 보유 원전의 출력증강(uprate) 및 현대화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대상 설비 — 3개 주 8기, 증강 규모 약 1.1GWe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일리노이 6기 : 브레이드우드·바이런·클린턴·드레스덴·라살·쿼드시티즈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메릴랜드 1기 : 캘버트클리프스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펜실베이니아 1기 : 리머릭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상위 사업 — UPRISE(Utility Power Reactor Incremental Scaling Effort)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출범 : ’26.3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목표 : ’27년 말까지 2.5GW 증강, 이후 3년 내 유사 규모 추가</w:t>
      </w:r>
    </w:p>
    <w:p>
      <w:pPr>
        <w:ind w:left="810" w:hanging="330"/>
        <w:spacing w:after="320"/>
      </w:pPr>
      <w:r>
        <w:rPr>
          <w:sz w:val="22"/>
          <w:szCs w:val="22"/>
        </w:rPr>
        <w:t xml:space="preserve">※</w:t>
      </w:r>
      <w:r>
        <w:rPr>
          <w:sz w:val="22"/>
          <w:szCs w:val="22"/>
        </w:rPr>
        <w:tab/>
        <w:t xml:space="preserve">출처 : World Nuclear News(’26.10.28) · POWER Magazine(’26.10.28) · 더구루(’26.10.28). 조건부 확약 단계로 최종 대출 실행 조건·시기는 미공개이며, 호기별 증강 용량과 공사 일정도 확인되지 않음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시사점(당사 해외사업 관점)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발주처의 설비용량 확대 수단이 신규 건설에서 기존 호기 증강·설비개선으로 넓어지고 있으며, 미 연방 금융이 이를 뒷받침함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증설 대비 공기·인허가 부담이 작아 발주처가 증강을 선행 선택할 여지가 커짐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당사는 출력증강·계속운전 연계 설비개선 역무를 노형 수출·신규 건설과 분리한 별도 제안 품목으로 구성할 필요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국내 고리 3·4호기 계속운전 허가(’26.10.27) 실적을 증강·수명연장 수행 경험으로 연계 제시 가능</w:t>
      </w:r>
    </w:p>
    <w:p>
      <w:pPr>
        <w:ind w:left="900" w:hanging="420"/>
        <w:spacing w:after="32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UPRISE 후속 선정 사업자·호기가 공개되면 증강 기자재·엔지니어링 발주 범위를 확인해 당사 참여 가능 패키지를 식별 필요</w:t>
      </w:r>
    </w:p>
    <w:p>
      <w:pPr>
        <w:ind w:left="900" w:hanging="420"/>
        <w:spacing w:after="48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유럽(핀란드 올킬루오토 설비개선 등) 개보수·LTO 발주와 묶어 제안할 레퍼런스 구성 검토 필요</w:t>
      </w:r>
    </w:p>
    <w:p>
      <w:pPr>
        <w:jc w:val="right"/>
        <w:spacing w:after="0"/>
      </w:pPr>
      <w:r>
        <w:t xml:space="preserve">- 以 上 -</w:t>
      </w:r>
    </w:p>
    <w:sectPr>
      <w:pgSz w:w="11906" w:h="16838"/>
      <w:pgMar w:top="1418" w:right="1134" w:bottom="1418" w:left="1134" w:header="851" w:footer="851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바탕체" w:eastAsia="바탕체" w:hAnsi="바탕체"/>
        <w:color w:val="000000"/>
        <w:sz w:val="28"/>
        <w:szCs w:val="28"/>
      </w:rPr>
    </w:rPrDefault>
    <w:pPrDefault>
      <w:pPr>
        <w:spacing w:after="320" w:line="240" w:lineRule="auto"/>
        <w:jc w:val="lef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