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00"/>
      </w:pPr>
      <w:r>
        <w:rPr>
          <w:b/>
          <w:u w:val="single"/>
          <w:sz w:val="40"/>
          <w:szCs w:val="40"/>
        </w:rPr>
        <w:t xml:space="preserve">[국감현장] 한수원, 1조원대 손실 자초…이집트 엘다바 원전 무리한 계약 비판 — 공사손실 충당부채 약 1조 2,000억원, 일부 기자재비 693억→3,915억(보고)</w:t>
      </w:r>
    </w:p>
    <w:p>
      <w:pPr>
        <w:jc w:val="right"/>
        <w:spacing w:after="40"/>
      </w:pPr>
      <w:r>
        <w:rPr>
          <w:sz w:val="26"/>
          <w:szCs w:val="26"/>
        </w:rPr>
        <w:t xml:space="preserve">‘26. 10. 13(화)</w:t>
      </w:r>
    </w:p>
    <w:p>
      <w:pPr>
        <w:jc w:val="right"/>
        <w:spacing w:after="360"/>
      </w:pPr>
      <w:r>
        <w:rPr>
          <w:sz w:val="24"/>
          <w:szCs w:val="24"/>
        </w:rPr>
        <w:t xml:space="preserve">원전영업팀 (원자력 해외영업)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보고 배경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’26.10.12 국회 산업통상중소벤처기업위원회 국정감사에서 김원이 의원이 한수원 감사실 내부 감사자료를 근거로 이집트 엘다바 원전 사업의 손실 구조를 지적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한국형 원전 수출 사업의 계약 구조가 공개 수치로 쟁점화된 사안으로, 경쟁 벤더의 가격·공기 신뢰도 공격 소재가 될 수 있어 대응 논리 정리가 필요함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주요 내용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손실 규모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’26년 상반기 기준 한수원 공사손실 충당부채 약 1조 2,000억원, 대부분이 엘다바 사업에서 발생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일부 기자재 조달비가 착수 후 693억원 → 3,915억원으로 5배 이상 증가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계약 구조상 문제로 지적된 사항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’22.8 설계·물량이 확정되지 않은 상태에서 로사톰 자회사 JSC ASE와 터빈건물 시공·기자재 공급·설치에 대한 총액확정계약 체결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원가를 다른 국내 노형 기준으로 산정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내부통제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내부 감사에서 당시 사업책임자가 직원들에게 불리한 조건 수용을 압박한 사실 확인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처장급 정직 1개월, 부장급 감봉 1개월 처분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김회천 한수원 사장은 사과하고 재발방지를 위한 리스크관리위원회 설치를 설명함</w:t>
      </w:r>
    </w:p>
    <w:p>
      <w:pPr>
        <w:ind w:left="810" w:hanging="330"/>
        <w:spacing w:after="320"/>
      </w:pPr>
      <w:r>
        <w:rPr>
          <w:sz w:val="22"/>
          <w:szCs w:val="22"/>
        </w:rPr>
        <w:t xml:space="preserve">※</w:t>
      </w:r>
      <w:r>
        <w:rPr>
          <w:sz w:val="22"/>
          <w:szCs w:val="22"/>
        </w:rPr>
        <w:tab/>
        <w:t xml:space="preserve">출처 : 투데이에너지(’26.10.13) / 국정감사 질의 내용 기준이며 사업 최종 손익은 미확정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시사점(당사 해외사업 관점)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경쟁 벤더가 한국형 수주의 가격·공기 신뢰도를 공격할 때 인용 가능한 공개 수치가 생성됨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대응 논리는 손실 원인을 노형·시공 역량이 아니라 「설계 미확정 상태의 총액확정계약」이라는 계약 구조로 분리해 설명하는 방향이어야 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신규 입찰에서는 설계 성숙도와 물량 확정 시점을 가격 조건에 연동하는 조항을 당사 표준 입장으로 가져갈 근거가 됨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총액확정계약 수용 가능 조건(설계 성숙도 기준·물량 확정 시점·가격 조정 조항)을 정리한 1페이지 대응 자료 작성 필요</w:t>
      </w:r>
    </w:p>
    <w:p>
      <w:pPr>
        <w:ind w:left="900" w:hanging="420"/>
        <w:spacing w:after="48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진행 중 해외 사업의 계약 형태별 위험 노출을 동일 기준으로 재점검</w:t>
      </w:r>
    </w:p>
    <w:p>
      <w:pPr>
        <w:jc w:val="right"/>
        <w:spacing w:after="0"/>
      </w:pPr>
      <w:r>
        <w:t xml:space="preserve">- 以 上 -</w:t>
      </w:r>
    </w:p>
    <w:sectPr>
      <w:pgSz w:w="11906" w:h="16838"/>
      <w:pgMar w:top="1418" w:right="1134" w:bottom="1418" w:left="1134" w:header="851" w:footer="851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바탕체" w:eastAsia="바탕체" w:hAnsi="바탕체"/>
        <w:color w:val="000000"/>
        <w:sz w:val="28"/>
        <w:szCs w:val="28"/>
      </w:rPr>
    </w:rPrDefault>
    <w:pPrDefault>
      <w:pPr>
        <w:spacing w:after="320" w:line="240" w:lineRule="auto"/>
        <w:jc w:val="lef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