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200"/>
      </w:pPr>
      <w:r>
        <w:rPr>
          <w:b/>
          <w:u w:val="single"/>
          <w:sz w:val="40"/>
          <w:szCs w:val="40"/>
        </w:rPr>
        <w:t xml:space="preserve">한수원, 체코 두코바니 시공계약 협상 종료 — 대우건설·두산에너빌리티 컨소시엄 대신 국가계약법 경쟁입찰로 신규 시공사, 2027년 7월 선정 목표(보고)</w:t>
      </w:r>
    </w:p>
    <w:p>
      <w:pPr>
        <w:jc w:val="right"/>
        <w:spacing w:after="40"/>
      </w:pPr>
      <w:r>
        <w:rPr>
          <w:sz w:val="26"/>
          <w:szCs w:val="26"/>
        </w:rPr>
        <w:t xml:space="preserve">‘26. 10. 29(목)</w:t>
      </w:r>
    </w:p>
    <w:p>
      <w:pPr>
        <w:jc w:val="right"/>
        <w:spacing w:after="360"/>
      </w:pPr>
      <w:r>
        <w:rPr>
          <w:sz w:val="24"/>
          <w:szCs w:val="24"/>
        </w:rPr>
        <w:t xml:space="preserve">원전영업팀 (원자력 해외영업)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보고 배경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한수원이 ’26.10.29 체코 두코바니 APR1000 2기 건설의 시공계약 협상을 대우건설·두산에너빌리티 컨소시엄과 종료하고, 기존 공동협력협약 종료 절차에 착수함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수출 1호 사업에서 주계약자–시공사 간 물량·비용 리스크 배분이 공개적으로 결렬된 사안으로, 향후 해외 입찰의 공급망 검증 강화 및 두코바니 시공 패키지 재개방 측면에서 보고함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주요 내용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협상 종료 — 시공계약 및 공동협력협약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대상 : 체코 두코바니 신규 APR1000 2기 건설 시공계약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상대방 : 대우건설·두산에너빌리티 컨소시엄(’18년 시공 파트너 선정)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조치 : 협상 종료 및 기존 공동협력협약 종료 절차 착수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결렬 쟁점 — 계약방식·업무범위·기준물량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한수원 : 기본설계 기준물량에 근거한 총액계약(lump-sum), 비용 확정성 확보 근거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컨소시엄 : 실시설계 확정물량 기준 정산, 공사물량 증가분 반영 요구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주계약 조건의 시공계약 적용 방식도 쟁점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경과 : 실무협상 → 이견조정위원회 → 경영진 협상 3단계 모두 합의 불발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후속 절차 — 국가계약법 경쟁입찰로 시공사 재선정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선정 방식 : 국가계약법에 근거한 경쟁입찰(기존 컨소시엄 구성원도 참여 가능)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목표 일정 : ’27.1 입찰설명회 → ’27.4 입찰 개시 → ’27.7 선정 (세부 절차·일정 미확정)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공백 대응 : 신규 시공사 선정 전까지 필수업무를 한수원이 직접 수행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사업 일정 — 현재까지 공표 기준 유지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부지정비 착수 : ’28.1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본공사 착수 : ’29.11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계약 규모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’25.6 체결 계약금액 : 26조원(194억 달러)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체코 측 공표 2기 건설비 : 4,070억 코루나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영향 없는 기존 계약 — 기자재·설계 계약은 유효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두산에너빌리티 원자로설비·터빈발전기 공급계약(’25.12.16 체결) : 유효, 재입찰 참여 의사 표명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한전기술 종합설계용역(’25.12 체결) : 유효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한전원자력연료 핵연료 공급, 한전KPS 시운전·정비 : ’27년 체결 목표로 협상 중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당사자 입장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한수원 : 원만한 합의 노력에도 최종 합의 미도달, ‘종합적 대책’ 마련 중. 정부·체코 발주처·협력사와 함께 당초 계획대로 추진 방침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대우건설 : 한수원이 설계변경 비용위험을 시공사에 전가하고 공사물량 증가를 충분히 반영하지 않았다는 입장, 협의 지속 의사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체코 산업통상부(하블리체크 장관)·EDU II(자보츠키 사장) : 공정에 영향 없다는 입장. 총괄 공급 보증은 한국 측 책임임을 명시</w:t>
      </w:r>
    </w:p>
    <w:p>
      <w:pPr>
        <w:ind w:left="810" w:hanging="330"/>
        <w:spacing w:after="320"/>
      </w:pPr>
      <w:r>
        <w:rPr>
          <w:sz w:val="22"/>
          <w:szCs w:val="22"/>
        </w:rPr>
        <w:t xml:space="preserve">※</w:t>
      </w:r>
      <w:r>
        <w:rPr>
          <w:sz w:val="22"/>
          <w:szCs w:val="22"/>
        </w:rPr>
        <w:tab/>
        <w:t xml:space="preserve">출처 : World Nuclear News(’26.10.29) · 세계일보(’26.10.29) · oenergetice.cz/ČTK(’26.10.29) · 머니투데이방송(’26.10.29). 한수원 보도자료 게시판에는 ’26.10.30 기준 관련 공식 보도자료 미게시이며, 신규 입찰 세부 절차와 완공 시점은 출처 간 수치가 일치하지 않아 기재하지 않음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시사점(당사 해외사업 관점)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수출 1호 사업의 주계약자–시공사 내부 리스크 배분 결렬이 공개돼, 향후 모든 해외 제안에서 발주처의 검증 항목이 될 전망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핵심은 기본설계 기준물량 총액계약이라는 한수원 모델을 국내 시공사가 수용하지 않았다는 점으로, 동일 조건 재입찰 시 응찰 폭 축소 가능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체코·슬로바키아·폴란드 발주처가 ‘팀코리아 공급망 안정성’을 입찰평가에서 재확인할 가능성이 크므로, 계약방식·물량정산 조건을 제안 단계에서 선정리 필요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반면 ’27.7까지 두코바니 시공 패키지가 재개방된 것으로, 국내 EPC·시공사에 진입 기회가 다시 발생함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기존 컨소시엄 구성원도 참여 가능하다는 발주처 입장이 확인돼 경쟁 구도가 열려 있음</w:t>
      </w:r>
    </w:p>
    <w:p>
      <w:pPr>
        <w:ind w:left="900" w:hanging="420"/>
        <w:spacing w:after="32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’27.1 입찰설명회 공고 시점에 입찰 범위(시공 단독 여부, BOP 포함 여부)와 물량정산 조건을 확인해 당사 참여 가능 패키지를 식별 필요</w:t>
      </w:r>
    </w:p>
    <w:p>
      <w:pPr>
        <w:ind w:left="900" w:hanging="420"/>
        <w:spacing w:after="32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한수원이 마련 중인 ‘종합적 대책’ 및 필수업무 직접 수행 범위를 확인해, 직수행 전환 구간에서 발생할 개별 용역·기자재 발주를 추적 필요</w:t>
      </w:r>
    </w:p>
    <w:p>
      <w:pPr>
        <w:ind w:left="900" w:hanging="420"/>
        <w:spacing w:after="48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기본설계 기준물량 총액계약 조건의 수용 가능성과 리스크 한도를 사전 검토해, 재입찰 참여 여부 판단 기준을 내부적으로 확정 필요</w:t>
      </w:r>
    </w:p>
    <w:p>
      <w:pPr>
        <w:jc w:val="right"/>
        <w:spacing w:after="0"/>
      </w:pPr>
      <w:r>
        <w:t xml:space="preserve">- 以 上 -</w:t>
      </w:r>
    </w:p>
    <w:sectPr>
      <w:pgSz w:w="11906" w:h="16838"/>
      <w:pgMar w:top="1418" w:right="1134" w:bottom="1418" w:left="1134" w:header="851" w:footer="851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바탕체" w:eastAsia="바탕체" w:hAnsi="바탕체"/>
        <w:color w:val="000000"/>
        <w:sz w:val="28"/>
        <w:szCs w:val="28"/>
      </w:rPr>
    </w:rPrDefault>
    <w:pPrDefault>
      <w:pPr>
        <w:spacing w:after="320" w:line="240" w:lineRule="auto"/>
        <w:jc w:val="lef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